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6CC60" w14:textId="5657D360" w:rsidR="000611C6" w:rsidRPr="000611C6" w:rsidRDefault="000611C6" w:rsidP="000611C6">
      <w:pPr>
        <w:pStyle w:val="NoSpacing"/>
        <w:contextualSpacing/>
        <w:jc w:val="both"/>
        <w:rPr>
          <w:rFonts w:ascii="Arial" w:hAnsi="Arial" w:cs="Arial"/>
          <w:b/>
          <w:sz w:val="28"/>
          <w:szCs w:val="28"/>
          <w:lang w:val="en-GB"/>
        </w:rPr>
      </w:pPr>
      <w:r w:rsidRPr="000611C6">
        <w:rPr>
          <w:rFonts w:ascii="Arial" w:hAnsi="Arial" w:cs="Arial"/>
          <w:b/>
          <w:sz w:val="28"/>
          <w:szCs w:val="28"/>
          <w:lang w:val="en-GB"/>
        </w:rPr>
        <w:t>3GPP TSG RAN WG4 #112bis</w:t>
      </w:r>
      <w:r w:rsidRPr="000611C6">
        <w:rPr>
          <w:rFonts w:ascii="Arial" w:hAnsi="Arial" w:cs="Arial"/>
          <w:b/>
          <w:sz w:val="28"/>
          <w:szCs w:val="28"/>
          <w:lang w:val="en-GB"/>
        </w:rPr>
        <w:tab/>
      </w:r>
      <w:r w:rsidRPr="000611C6">
        <w:rPr>
          <w:rFonts w:ascii="Arial" w:hAnsi="Arial" w:cs="Arial"/>
          <w:b/>
          <w:sz w:val="28"/>
          <w:szCs w:val="28"/>
          <w:lang w:val="en-GB"/>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Pr>
          <w:rFonts w:ascii="Arial" w:hAnsi="Arial" w:cs="Arial"/>
          <w:b/>
          <w:sz w:val="28"/>
          <w:szCs w:val="28"/>
          <w:lang w:val="en-GB" w:eastAsia="zh-CN"/>
        </w:rPr>
        <w:t xml:space="preserve">     </w:t>
      </w:r>
      <w:r w:rsidRPr="000611C6">
        <w:rPr>
          <w:rFonts w:ascii="Arial" w:hAnsi="Arial" w:cs="Arial"/>
          <w:b/>
          <w:sz w:val="28"/>
          <w:szCs w:val="28"/>
          <w:lang w:val="en-GB"/>
        </w:rPr>
        <w:t>R4-</w:t>
      </w:r>
      <w:r w:rsidR="008419FF" w:rsidRPr="008419FF">
        <w:rPr>
          <w:rFonts w:ascii="Arial" w:hAnsi="Arial" w:cs="Arial"/>
          <w:b/>
          <w:sz w:val="28"/>
          <w:szCs w:val="28"/>
          <w:lang w:val="en-GB"/>
        </w:rPr>
        <w:t>2416473</w:t>
      </w:r>
    </w:p>
    <w:p w14:paraId="68BB5185" w14:textId="30DC67C3" w:rsidR="000611C6" w:rsidRPr="00E913CF" w:rsidRDefault="000611C6" w:rsidP="000611C6">
      <w:pPr>
        <w:pStyle w:val="NoSpacing"/>
        <w:contextualSpacing/>
        <w:jc w:val="both"/>
        <w:rPr>
          <w:rFonts w:ascii="Arial" w:hAnsi="Arial" w:cs="Arial"/>
          <w:b/>
          <w:sz w:val="28"/>
          <w:szCs w:val="28"/>
        </w:rPr>
      </w:pPr>
      <w:r>
        <w:rPr>
          <w:rFonts w:ascii="Arial" w:hAnsi="Arial" w:cs="Arial"/>
          <w:b/>
          <w:sz w:val="28"/>
          <w:szCs w:val="28"/>
        </w:rPr>
        <w:t>Hefei, CN, October 14</w:t>
      </w:r>
      <w:r w:rsidRPr="00C05EFB">
        <w:rPr>
          <w:rFonts w:ascii="Arial" w:hAnsi="Arial" w:cs="Arial"/>
          <w:b/>
          <w:sz w:val="28"/>
          <w:szCs w:val="28"/>
          <w:vertAlign w:val="superscript"/>
        </w:rPr>
        <w:t>th</w:t>
      </w:r>
      <w:r>
        <w:rPr>
          <w:rFonts w:ascii="Arial" w:hAnsi="Arial" w:cs="Arial"/>
          <w:b/>
          <w:sz w:val="28"/>
          <w:szCs w:val="28"/>
        </w:rPr>
        <w:t xml:space="preserve"> </w:t>
      </w:r>
      <w:r w:rsidRPr="00E913CF">
        <w:rPr>
          <w:rFonts w:ascii="Arial" w:hAnsi="Arial" w:cs="Arial"/>
          <w:b/>
          <w:sz w:val="28"/>
          <w:szCs w:val="28"/>
        </w:rPr>
        <w:t>–</w:t>
      </w:r>
      <w:r>
        <w:rPr>
          <w:rFonts w:ascii="Arial" w:hAnsi="Arial" w:cs="Arial"/>
          <w:b/>
          <w:sz w:val="28"/>
          <w:szCs w:val="28"/>
        </w:rPr>
        <w:t xml:space="preserve"> 18</w:t>
      </w:r>
      <w:r>
        <w:rPr>
          <w:rFonts w:ascii="Arial" w:hAnsi="Arial" w:cs="Arial"/>
          <w:b/>
          <w:sz w:val="28"/>
          <w:szCs w:val="28"/>
          <w:vertAlign w:val="superscript"/>
        </w:rPr>
        <w:t>th</w:t>
      </w:r>
      <w:r w:rsidRPr="00E913CF">
        <w:rPr>
          <w:rFonts w:ascii="Arial" w:hAnsi="Arial" w:cs="Arial"/>
          <w:b/>
          <w:sz w:val="28"/>
          <w:szCs w:val="28"/>
        </w:rPr>
        <w:t>, 202</w:t>
      </w:r>
      <w:r>
        <w:rPr>
          <w:rFonts w:ascii="Arial" w:hAnsi="Arial" w:cs="Arial"/>
          <w:b/>
          <w:sz w:val="28"/>
          <w:szCs w:val="28"/>
        </w:rPr>
        <w:t>4</w:t>
      </w:r>
    </w:p>
    <w:p w14:paraId="75334291" w14:textId="77777777" w:rsidR="000611C6" w:rsidRPr="000D3066" w:rsidRDefault="000611C6" w:rsidP="000611C6">
      <w:pPr>
        <w:pStyle w:val="NoSpacing"/>
        <w:contextualSpacing/>
        <w:jc w:val="both"/>
        <w:rPr>
          <w:rFonts w:ascii="Arial" w:hAnsi="Arial" w:cs="Arial"/>
          <w:b/>
          <w:sz w:val="24"/>
          <w:szCs w:val="24"/>
          <w:lang w:eastAsia="zh-CN"/>
        </w:rPr>
      </w:pPr>
    </w:p>
    <w:p w14:paraId="4A8D9A0E" w14:textId="77777777" w:rsidR="000611C6" w:rsidRPr="000D3066" w:rsidRDefault="000611C6" w:rsidP="000611C6">
      <w:pPr>
        <w:pStyle w:val="NoSpacing"/>
        <w:contextualSpacing/>
        <w:jc w:val="both"/>
        <w:rPr>
          <w:rFonts w:ascii="Arial" w:hAnsi="Arial" w:cs="Arial"/>
          <w:b/>
          <w:sz w:val="24"/>
          <w:szCs w:val="24"/>
          <w:lang w:eastAsia="zh-CN"/>
        </w:rPr>
      </w:pPr>
    </w:p>
    <w:p w14:paraId="355BDBC9" w14:textId="23AE2FDC" w:rsidR="000611C6" w:rsidRPr="000D3066" w:rsidRDefault="000611C6" w:rsidP="000611C6">
      <w:pPr>
        <w:pStyle w:val="NoSpacing"/>
        <w:contextualSpacing/>
        <w:jc w:val="both"/>
        <w:rPr>
          <w:rFonts w:ascii="Arial" w:hAnsi="Arial" w:cs="Arial"/>
          <w:b/>
          <w:sz w:val="24"/>
          <w:szCs w:val="24"/>
          <w:lang w:eastAsia="zh-CN"/>
        </w:rPr>
      </w:pPr>
      <w:r w:rsidRPr="0052022F">
        <w:rPr>
          <w:rFonts w:ascii="Arial" w:hAnsi="Arial" w:cs="Arial"/>
          <w:b/>
          <w:sz w:val="24"/>
          <w:szCs w:val="24"/>
        </w:rPr>
        <w:t>Agenda Item:</w:t>
      </w:r>
      <w:r w:rsidRPr="0052022F">
        <w:rPr>
          <w:rFonts w:ascii="Arial" w:hAnsi="Arial" w:cs="Arial"/>
          <w:b/>
          <w:sz w:val="24"/>
          <w:szCs w:val="24"/>
        </w:rPr>
        <w:tab/>
      </w:r>
      <w:r w:rsidRPr="0052022F">
        <w:rPr>
          <w:rFonts w:ascii="Arial" w:hAnsi="Arial" w:cs="Arial"/>
          <w:b/>
          <w:sz w:val="24"/>
          <w:szCs w:val="24"/>
        </w:rPr>
        <w:tab/>
      </w:r>
      <w:r w:rsidR="00647BAC" w:rsidRPr="00647BAC">
        <w:rPr>
          <w:rFonts w:ascii="Arial" w:hAnsi="Arial" w:cs="Arial"/>
          <w:b/>
          <w:sz w:val="24"/>
          <w:szCs w:val="24"/>
          <w:lang w:val="en-GB"/>
        </w:rPr>
        <w:t>5.19.2</w:t>
      </w:r>
    </w:p>
    <w:p w14:paraId="200B798D" w14:textId="0B721D92" w:rsidR="000611C6" w:rsidRPr="0052022F" w:rsidRDefault="000611C6" w:rsidP="000611C6">
      <w:pPr>
        <w:pStyle w:val="NoSpacing"/>
        <w:contextualSpacing/>
        <w:jc w:val="both"/>
        <w:rPr>
          <w:rFonts w:ascii="Arial" w:eastAsia="SimSun" w:hAnsi="Arial" w:cs="Arial"/>
          <w:b/>
          <w:sz w:val="24"/>
          <w:szCs w:val="24"/>
        </w:rPr>
      </w:pPr>
      <w:r w:rsidRPr="0052022F">
        <w:rPr>
          <w:rFonts w:ascii="Arial" w:hAnsi="Arial" w:cs="Arial"/>
          <w:b/>
          <w:sz w:val="24"/>
          <w:szCs w:val="24"/>
        </w:rPr>
        <w:t>Source:</w:t>
      </w:r>
      <w:r w:rsidRPr="0052022F">
        <w:rPr>
          <w:rFonts w:ascii="Arial" w:hAnsi="Arial" w:cs="Arial"/>
          <w:b/>
          <w:sz w:val="24"/>
          <w:szCs w:val="24"/>
        </w:rPr>
        <w:tab/>
      </w:r>
      <w:r w:rsidRPr="0052022F">
        <w:rPr>
          <w:rFonts w:ascii="Arial" w:hAnsi="Arial" w:cs="Arial"/>
          <w:b/>
          <w:sz w:val="24"/>
          <w:szCs w:val="24"/>
        </w:rPr>
        <w:tab/>
      </w:r>
      <w:r w:rsidRPr="0052022F">
        <w:rPr>
          <w:rFonts w:ascii="Arial" w:hAnsi="Arial" w:cs="Arial"/>
          <w:b/>
          <w:sz w:val="24"/>
          <w:szCs w:val="24"/>
        </w:rPr>
        <w:tab/>
      </w:r>
      <w:r w:rsidRPr="0052022F">
        <w:rPr>
          <w:rFonts w:ascii="Arial" w:hAnsi="Arial" w:cs="Arial"/>
          <w:b/>
          <w:sz w:val="24"/>
          <w:szCs w:val="24"/>
        </w:rPr>
        <w:tab/>
      </w:r>
      <w:r>
        <w:rPr>
          <w:rFonts w:ascii="Arial" w:hAnsi="Arial" w:cs="Arial"/>
          <w:b/>
          <w:sz w:val="24"/>
          <w:szCs w:val="24"/>
        </w:rPr>
        <w:t>Inmarsat</w:t>
      </w:r>
      <w:r w:rsidR="00C34DFF">
        <w:rPr>
          <w:rFonts w:ascii="Arial" w:hAnsi="Arial" w:cs="Arial"/>
          <w:b/>
          <w:sz w:val="24"/>
          <w:szCs w:val="24"/>
        </w:rPr>
        <w:t>, Viasat</w:t>
      </w:r>
    </w:p>
    <w:p w14:paraId="7342CD4B" w14:textId="517C5D7A" w:rsidR="000611C6" w:rsidRDefault="000611C6" w:rsidP="000611C6">
      <w:pPr>
        <w:pStyle w:val="NoSpacing"/>
        <w:ind w:left="2010" w:hanging="2010"/>
        <w:contextualSpacing/>
        <w:jc w:val="both"/>
        <w:rPr>
          <w:rFonts w:ascii="Arial" w:hAnsi="Arial" w:cs="Arial"/>
          <w:b/>
          <w:sz w:val="24"/>
          <w:szCs w:val="24"/>
        </w:rPr>
      </w:pPr>
      <w:r w:rsidRPr="00E913CF">
        <w:rPr>
          <w:rFonts w:ascii="Arial" w:hAnsi="Arial" w:cs="Arial"/>
          <w:b/>
          <w:sz w:val="24"/>
          <w:szCs w:val="24"/>
        </w:rPr>
        <w:t>Title:</w:t>
      </w:r>
      <w:bookmarkStart w:id="0" w:name="Title"/>
      <w:bookmarkEnd w:id="0"/>
      <w:r w:rsidRPr="00E913CF">
        <w:rPr>
          <w:rFonts w:ascii="Arial" w:hAnsi="Arial" w:cs="Arial"/>
          <w:b/>
          <w:sz w:val="24"/>
          <w:szCs w:val="24"/>
        </w:rPr>
        <w:tab/>
      </w:r>
      <w:r w:rsidR="00D027D1" w:rsidRPr="00D027D1">
        <w:rPr>
          <w:rFonts w:ascii="Arial" w:hAnsi="Arial" w:cs="Arial"/>
          <w:b/>
          <w:sz w:val="24"/>
          <w:szCs w:val="24"/>
          <w:lang w:val="en-GB"/>
        </w:rPr>
        <w:t>Input to UE RF requirements for NTN L-bands n253, n521, n250</w:t>
      </w:r>
    </w:p>
    <w:p w14:paraId="64CAA37D" w14:textId="09206914" w:rsidR="000611C6" w:rsidRPr="007B491C" w:rsidRDefault="000611C6" w:rsidP="000611C6">
      <w:pPr>
        <w:pStyle w:val="NoSpacing"/>
        <w:ind w:left="2010" w:hanging="2010"/>
        <w:contextualSpacing/>
        <w:jc w:val="both"/>
        <w:rPr>
          <w:rFonts w:ascii="Arial" w:hAnsi="Arial" w:cs="Arial"/>
          <w:b/>
          <w:sz w:val="24"/>
          <w:szCs w:val="24"/>
        </w:rPr>
      </w:pPr>
      <w:r w:rsidRPr="00E913CF">
        <w:rPr>
          <w:rFonts w:ascii="Arial" w:hAnsi="Arial" w:cs="Arial"/>
          <w:b/>
          <w:sz w:val="24"/>
          <w:szCs w:val="24"/>
        </w:rPr>
        <w:t>Document for:</w:t>
      </w:r>
      <w:r w:rsidRPr="00E913CF">
        <w:rPr>
          <w:rFonts w:ascii="Arial" w:hAnsi="Arial" w:cs="Arial"/>
          <w:b/>
          <w:sz w:val="24"/>
          <w:szCs w:val="24"/>
        </w:rPr>
        <w:tab/>
      </w:r>
      <w:bookmarkStart w:id="1" w:name="DocumentFor"/>
      <w:bookmarkEnd w:id="1"/>
      <w:r>
        <w:rPr>
          <w:rFonts w:ascii="Arial" w:hAnsi="Arial" w:cs="Arial"/>
          <w:b/>
          <w:sz w:val="24"/>
          <w:szCs w:val="24"/>
        </w:rPr>
        <w:t>Discussion</w:t>
      </w:r>
      <w:r w:rsidR="00647BAC">
        <w:rPr>
          <w:rFonts w:ascii="Arial" w:hAnsi="Arial" w:cs="Arial"/>
          <w:b/>
          <w:sz w:val="24"/>
          <w:szCs w:val="24"/>
        </w:rPr>
        <w:t xml:space="preserve"> and Decision</w:t>
      </w:r>
    </w:p>
    <w:p w14:paraId="4CEEEC51" w14:textId="77777777" w:rsidR="000611C6" w:rsidRDefault="000611C6" w:rsidP="000611C6"/>
    <w:p w14:paraId="04ECCD93" w14:textId="77777777" w:rsidR="000611C6" w:rsidRPr="00626FD8" w:rsidRDefault="000611C6" w:rsidP="000611C6">
      <w:pPr>
        <w:pStyle w:val="Heading1"/>
        <w:numPr>
          <w:ilvl w:val="0"/>
          <w:numId w:val="1"/>
        </w:numPr>
        <w:tabs>
          <w:tab w:val="num" w:pos="360"/>
        </w:tabs>
        <w:spacing w:before="0" w:after="240"/>
        <w:ind w:left="1134" w:hanging="1134"/>
        <w:jc w:val="both"/>
      </w:pPr>
      <w:r w:rsidRPr="00626FD8">
        <w:t>Background</w:t>
      </w:r>
    </w:p>
    <w:p w14:paraId="42BF4FA2" w14:textId="18CD93E4" w:rsidR="000611C6" w:rsidRPr="00F61AF1" w:rsidRDefault="00F61AF1" w:rsidP="00F61AF1">
      <w:r>
        <w:t>The intent of this paper is to provide</w:t>
      </w:r>
      <w:r w:rsidR="001B01A4">
        <w:t xml:space="preserve"> additional</w:t>
      </w:r>
      <w:r w:rsidR="00F71F80">
        <w:t xml:space="preserve"> </w:t>
      </w:r>
      <w:r w:rsidR="00BA592C">
        <w:t>re</w:t>
      </w:r>
      <w:r w:rsidR="005179BA">
        <w:t xml:space="preserve">gulatory information pertaining to the new </w:t>
      </w:r>
      <w:r w:rsidR="00833CD1">
        <w:t xml:space="preserve">proposed </w:t>
      </w:r>
      <w:r w:rsidR="00247111">
        <w:t xml:space="preserve">bands </w:t>
      </w:r>
      <w:r w:rsidR="005A0E9E">
        <w:t>n253, n</w:t>
      </w:r>
      <w:r w:rsidR="00F65B0B">
        <w:t>25</w:t>
      </w:r>
      <w:r w:rsidR="001B01A4">
        <w:t>1</w:t>
      </w:r>
      <w:r w:rsidR="00F65B0B">
        <w:t xml:space="preserve"> and </w:t>
      </w:r>
      <w:r w:rsidR="005A0E9E">
        <w:t>n</w:t>
      </w:r>
      <w:r w:rsidR="00F65B0B">
        <w:t>25</w:t>
      </w:r>
      <w:r w:rsidR="001B01A4">
        <w:t>0.</w:t>
      </w:r>
    </w:p>
    <w:p w14:paraId="405EE0E1" w14:textId="37E21F61" w:rsidR="000611C6" w:rsidRPr="00626FD8" w:rsidRDefault="00C12A23" w:rsidP="000611C6">
      <w:pPr>
        <w:pStyle w:val="Heading1"/>
        <w:numPr>
          <w:ilvl w:val="0"/>
          <w:numId w:val="1"/>
        </w:numPr>
        <w:tabs>
          <w:tab w:val="num" w:pos="360"/>
        </w:tabs>
        <w:spacing w:before="0" w:after="240"/>
        <w:ind w:left="1134" w:hanging="1134"/>
        <w:jc w:val="both"/>
      </w:pPr>
      <w:r w:rsidRPr="00626FD8">
        <w:t xml:space="preserve">Regulatory </w:t>
      </w:r>
      <w:r w:rsidR="00E36340" w:rsidRPr="00626FD8">
        <w:t>Information</w:t>
      </w:r>
    </w:p>
    <w:p w14:paraId="3AF9D9B8" w14:textId="5492FAF2" w:rsidR="001666BD" w:rsidRDefault="001666BD" w:rsidP="001666BD">
      <w:r w:rsidRPr="001666BD">
        <w:t>Th</w:t>
      </w:r>
      <w:r w:rsidR="007F7674">
        <w:t xml:space="preserve">is section describes the regulatory information associated with </w:t>
      </w:r>
      <w:r w:rsidR="00A17E82">
        <w:t xml:space="preserve">bands </w:t>
      </w:r>
      <w:r w:rsidR="00821C2A">
        <w:t>n253, n</w:t>
      </w:r>
      <w:r w:rsidR="00A17E82">
        <w:t xml:space="preserve">251 and </w:t>
      </w:r>
      <w:r w:rsidR="00821C2A">
        <w:t>n</w:t>
      </w:r>
      <w:r w:rsidR="00A17E82">
        <w:t>250</w:t>
      </w:r>
      <w:r w:rsidR="002213A3">
        <w:t xml:space="preserve">. </w:t>
      </w:r>
      <w:r w:rsidR="00A17E82">
        <w:t>The bands are defined as follows:</w:t>
      </w:r>
    </w:p>
    <w:p w14:paraId="691A4C78" w14:textId="3C2C7425" w:rsidR="00734C54" w:rsidRDefault="00734C54" w:rsidP="00734C54">
      <w:pPr>
        <w:pStyle w:val="Caption"/>
        <w:keepNext/>
        <w:jc w:val="center"/>
      </w:pPr>
      <w:r>
        <w:t xml:space="preserve">Table </w:t>
      </w:r>
      <w:r>
        <w:fldChar w:fldCharType="begin"/>
      </w:r>
      <w:r>
        <w:instrText xml:space="preserve"> SEQ Table \* ARABIC </w:instrText>
      </w:r>
      <w:r>
        <w:fldChar w:fldCharType="separate"/>
      </w:r>
      <w:r w:rsidR="00004133">
        <w:rPr>
          <w:noProof/>
        </w:rPr>
        <w:t>1</w:t>
      </w:r>
      <w:r>
        <w:fldChar w:fldCharType="end"/>
      </w:r>
      <w:r>
        <w:t xml:space="preserve"> NR-NTN Proposed Bands</w:t>
      </w:r>
    </w:p>
    <w:tbl>
      <w:tblPr>
        <w:tblStyle w:val="TableGrid"/>
        <w:tblW w:w="0" w:type="auto"/>
        <w:tblLook w:val="04A0" w:firstRow="1" w:lastRow="0" w:firstColumn="1" w:lastColumn="0" w:noHBand="0" w:noVBand="1"/>
      </w:tblPr>
      <w:tblGrid>
        <w:gridCol w:w="1266"/>
        <w:gridCol w:w="3832"/>
        <w:gridCol w:w="3703"/>
        <w:gridCol w:w="828"/>
      </w:tblGrid>
      <w:tr w:rsidR="005E7200" w14:paraId="739E554F" w14:textId="77777777" w:rsidTr="00734C54">
        <w:tc>
          <w:tcPr>
            <w:tcW w:w="1266" w:type="dxa"/>
          </w:tcPr>
          <w:p w14:paraId="06B9B5ED" w14:textId="02521459" w:rsidR="005E7200" w:rsidRPr="00734C54" w:rsidRDefault="005E7200" w:rsidP="005E7200">
            <w:pPr>
              <w:jc w:val="center"/>
              <w:rPr>
                <w:b/>
                <w:bCs/>
              </w:rPr>
            </w:pPr>
            <w:r w:rsidRPr="00734C54">
              <w:rPr>
                <w:b/>
                <w:bCs/>
              </w:rPr>
              <w:t>NTN satellite</w:t>
            </w:r>
            <w:r w:rsidRPr="00734C54">
              <w:rPr>
                <w:b/>
                <w:bCs/>
                <w:lang w:val="en-US"/>
              </w:rPr>
              <w:t xml:space="preserve"> operating </w:t>
            </w:r>
            <w:r w:rsidRPr="00734C54">
              <w:rPr>
                <w:b/>
                <w:bCs/>
              </w:rPr>
              <w:t>band</w:t>
            </w:r>
          </w:p>
        </w:tc>
        <w:tc>
          <w:tcPr>
            <w:tcW w:w="3832" w:type="dxa"/>
          </w:tcPr>
          <w:p w14:paraId="21E35527" w14:textId="77777777" w:rsidR="005E7200" w:rsidRPr="00734C54" w:rsidRDefault="005E7200" w:rsidP="005E7200">
            <w:pPr>
              <w:pStyle w:val="TAH"/>
              <w:rPr>
                <w:bCs/>
                <w:lang w:val="en-US"/>
              </w:rPr>
            </w:pPr>
            <w:r w:rsidRPr="00734C54">
              <w:rPr>
                <w:bCs/>
                <w:lang w:val="en-US"/>
              </w:rPr>
              <w:t>Uplink (UL) operating band</w:t>
            </w:r>
            <w:r w:rsidRPr="00734C54">
              <w:rPr>
                <w:bCs/>
                <w:lang w:val="en-US"/>
              </w:rPr>
              <w:br/>
              <w:t>Satellite Access Node receive / UE transmit</w:t>
            </w:r>
          </w:p>
          <w:p w14:paraId="1D84E95E" w14:textId="29468334" w:rsidR="005E7200" w:rsidRPr="00734C54" w:rsidRDefault="005E7200" w:rsidP="005E7200">
            <w:pPr>
              <w:jc w:val="center"/>
              <w:rPr>
                <w:b/>
                <w:bCs/>
              </w:rPr>
            </w:pPr>
            <w:proofErr w:type="spellStart"/>
            <w:r w:rsidRPr="00734C54">
              <w:rPr>
                <w:b/>
                <w:bCs/>
              </w:rPr>
              <w:t>F</w:t>
            </w:r>
            <w:r w:rsidRPr="00734C54">
              <w:rPr>
                <w:b/>
                <w:bCs/>
                <w:vertAlign w:val="subscript"/>
              </w:rPr>
              <w:t>UL,low</w:t>
            </w:r>
            <w:proofErr w:type="spellEnd"/>
            <w:r w:rsidRPr="00734C54">
              <w:rPr>
                <w:b/>
                <w:bCs/>
              </w:rPr>
              <w:t xml:space="preserve">   –  </w:t>
            </w:r>
            <w:proofErr w:type="spellStart"/>
            <w:r w:rsidRPr="00734C54">
              <w:rPr>
                <w:b/>
                <w:bCs/>
              </w:rPr>
              <w:t>F</w:t>
            </w:r>
            <w:r w:rsidRPr="00734C54">
              <w:rPr>
                <w:b/>
                <w:bCs/>
                <w:vertAlign w:val="subscript"/>
              </w:rPr>
              <w:t>UL,high</w:t>
            </w:r>
            <w:proofErr w:type="spellEnd"/>
          </w:p>
        </w:tc>
        <w:tc>
          <w:tcPr>
            <w:tcW w:w="3703" w:type="dxa"/>
          </w:tcPr>
          <w:p w14:paraId="112417B1" w14:textId="77777777" w:rsidR="005E7200" w:rsidRPr="00734C54" w:rsidRDefault="005E7200" w:rsidP="005E7200">
            <w:pPr>
              <w:pStyle w:val="TAH"/>
              <w:rPr>
                <w:bCs/>
                <w:lang w:val="en-US"/>
              </w:rPr>
            </w:pPr>
            <w:r w:rsidRPr="00734C54">
              <w:rPr>
                <w:bCs/>
                <w:lang w:val="en-US"/>
              </w:rPr>
              <w:t>Downlink (DL) operating band</w:t>
            </w:r>
            <w:r w:rsidRPr="00734C54">
              <w:rPr>
                <w:bCs/>
                <w:lang w:val="en-US"/>
              </w:rPr>
              <w:br/>
              <w:t>Satellite Access Node transmit / UE receive</w:t>
            </w:r>
          </w:p>
          <w:p w14:paraId="0EF96B55" w14:textId="4FE820E2" w:rsidR="005E7200" w:rsidRPr="00734C54" w:rsidRDefault="005E7200" w:rsidP="005E7200">
            <w:pPr>
              <w:jc w:val="center"/>
              <w:rPr>
                <w:b/>
                <w:bCs/>
              </w:rPr>
            </w:pPr>
            <w:proofErr w:type="spellStart"/>
            <w:r w:rsidRPr="00734C54">
              <w:rPr>
                <w:b/>
                <w:bCs/>
              </w:rPr>
              <w:t>F</w:t>
            </w:r>
            <w:r w:rsidRPr="00734C54">
              <w:rPr>
                <w:b/>
                <w:bCs/>
                <w:vertAlign w:val="subscript"/>
              </w:rPr>
              <w:t>DL,low</w:t>
            </w:r>
            <w:proofErr w:type="spellEnd"/>
            <w:r w:rsidRPr="00734C54">
              <w:rPr>
                <w:b/>
                <w:bCs/>
              </w:rPr>
              <w:t xml:space="preserve">   –  </w:t>
            </w:r>
            <w:proofErr w:type="spellStart"/>
            <w:r w:rsidRPr="00734C54">
              <w:rPr>
                <w:b/>
                <w:bCs/>
              </w:rPr>
              <w:t>F</w:t>
            </w:r>
            <w:r w:rsidRPr="00734C54">
              <w:rPr>
                <w:b/>
                <w:bCs/>
                <w:vertAlign w:val="subscript"/>
              </w:rPr>
              <w:t>DL,high</w:t>
            </w:r>
            <w:proofErr w:type="spellEnd"/>
          </w:p>
        </w:tc>
        <w:tc>
          <w:tcPr>
            <w:tcW w:w="828" w:type="dxa"/>
          </w:tcPr>
          <w:p w14:paraId="1197477E" w14:textId="10988C4B" w:rsidR="005E7200" w:rsidRPr="00734C54" w:rsidRDefault="005E7200" w:rsidP="005E7200">
            <w:pPr>
              <w:jc w:val="center"/>
              <w:rPr>
                <w:b/>
                <w:bCs/>
              </w:rPr>
            </w:pPr>
            <w:r w:rsidRPr="00734C54">
              <w:rPr>
                <w:b/>
                <w:bCs/>
              </w:rPr>
              <w:t>Duplex mode</w:t>
            </w:r>
          </w:p>
        </w:tc>
      </w:tr>
      <w:tr w:rsidR="005A0E9E" w14:paraId="28CAB98A" w14:textId="77777777" w:rsidTr="00734C54">
        <w:tc>
          <w:tcPr>
            <w:tcW w:w="1266" w:type="dxa"/>
          </w:tcPr>
          <w:p w14:paraId="20593D28" w14:textId="305B3EAC" w:rsidR="005A0E9E" w:rsidRDefault="0081698A" w:rsidP="00FF24DE">
            <w:pPr>
              <w:jc w:val="center"/>
            </w:pPr>
            <w:r>
              <w:t>n</w:t>
            </w:r>
            <w:r w:rsidR="005A0E9E">
              <w:t>253</w:t>
            </w:r>
          </w:p>
        </w:tc>
        <w:tc>
          <w:tcPr>
            <w:tcW w:w="3832" w:type="dxa"/>
          </w:tcPr>
          <w:p w14:paraId="1A8BDD8F" w14:textId="27CD42D5" w:rsidR="005A0E9E" w:rsidRPr="00734C54" w:rsidRDefault="0081698A" w:rsidP="00FF24DE">
            <w:pPr>
              <w:jc w:val="center"/>
            </w:pPr>
            <w:r w:rsidRPr="00734C54">
              <w:t>1668MHz – 1675MHz</w:t>
            </w:r>
          </w:p>
        </w:tc>
        <w:tc>
          <w:tcPr>
            <w:tcW w:w="3703" w:type="dxa"/>
          </w:tcPr>
          <w:p w14:paraId="02BF6901" w14:textId="41F8AB5F" w:rsidR="005A0E9E" w:rsidRPr="00734C54" w:rsidRDefault="0081698A" w:rsidP="00FF24DE">
            <w:pPr>
              <w:jc w:val="center"/>
            </w:pPr>
            <w:r w:rsidRPr="00734C54">
              <w:t>1518MHz – 15</w:t>
            </w:r>
            <w:r>
              <w:t>25</w:t>
            </w:r>
            <w:r w:rsidRPr="00734C54">
              <w:t>MHz</w:t>
            </w:r>
          </w:p>
        </w:tc>
        <w:tc>
          <w:tcPr>
            <w:tcW w:w="828" w:type="dxa"/>
          </w:tcPr>
          <w:p w14:paraId="042C0BBB" w14:textId="2A940B52" w:rsidR="005A0E9E" w:rsidRPr="00734C54" w:rsidRDefault="0081698A" w:rsidP="00FF24DE">
            <w:pPr>
              <w:jc w:val="center"/>
            </w:pPr>
            <w:r>
              <w:t>FDD</w:t>
            </w:r>
          </w:p>
        </w:tc>
      </w:tr>
      <w:tr w:rsidR="00FF24DE" w14:paraId="16D7E7EB" w14:textId="77777777" w:rsidTr="00734C54">
        <w:tc>
          <w:tcPr>
            <w:tcW w:w="1266" w:type="dxa"/>
          </w:tcPr>
          <w:p w14:paraId="1C3B9BCE" w14:textId="66CA2F01" w:rsidR="00FF24DE" w:rsidRDefault="00FF24DE" w:rsidP="00FF24DE">
            <w:pPr>
              <w:jc w:val="center"/>
            </w:pPr>
            <w:r>
              <w:t>n251</w:t>
            </w:r>
          </w:p>
        </w:tc>
        <w:tc>
          <w:tcPr>
            <w:tcW w:w="3832" w:type="dxa"/>
          </w:tcPr>
          <w:p w14:paraId="35D4FB17" w14:textId="417AADD8" w:rsidR="00FF24DE" w:rsidRPr="00734C54" w:rsidRDefault="00FF24DE" w:rsidP="00FF24DE">
            <w:pPr>
              <w:jc w:val="center"/>
            </w:pPr>
            <w:r w:rsidRPr="00734C54">
              <w:t>1626.5MHz – 1660.5MHz</w:t>
            </w:r>
          </w:p>
        </w:tc>
        <w:tc>
          <w:tcPr>
            <w:tcW w:w="3703" w:type="dxa"/>
          </w:tcPr>
          <w:p w14:paraId="46B15F3F" w14:textId="1A6C08EB" w:rsidR="00FF24DE" w:rsidRPr="00734C54" w:rsidRDefault="00FF24DE" w:rsidP="00FF24DE">
            <w:pPr>
              <w:jc w:val="center"/>
            </w:pPr>
            <w:r w:rsidRPr="00734C54">
              <w:t>1518MHz – 1559MHz</w:t>
            </w:r>
          </w:p>
        </w:tc>
        <w:tc>
          <w:tcPr>
            <w:tcW w:w="828" w:type="dxa"/>
          </w:tcPr>
          <w:p w14:paraId="1D9FCF14" w14:textId="3D9EE3DB" w:rsidR="00FF24DE" w:rsidRPr="00734C54" w:rsidRDefault="00FF24DE" w:rsidP="00FF24DE">
            <w:pPr>
              <w:jc w:val="center"/>
            </w:pPr>
            <w:r w:rsidRPr="00734C54">
              <w:t>FDD</w:t>
            </w:r>
          </w:p>
        </w:tc>
      </w:tr>
      <w:tr w:rsidR="00734C54" w14:paraId="053995FA" w14:textId="77777777" w:rsidTr="00734C54">
        <w:tc>
          <w:tcPr>
            <w:tcW w:w="1266" w:type="dxa"/>
          </w:tcPr>
          <w:p w14:paraId="73E8D7F1" w14:textId="6CC8A3CD" w:rsidR="00734C54" w:rsidRDefault="00734C54" w:rsidP="00734C54">
            <w:pPr>
              <w:jc w:val="center"/>
            </w:pPr>
            <w:r>
              <w:t>n250</w:t>
            </w:r>
          </w:p>
        </w:tc>
        <w:tc>
          <w:tcPr>
            <w:tcW w:w="3832" w:type="dxa"/>
          </w:tcPr>
          <w:p w14:paraId="46B133E2" w14:textId="3DBB53E7" w:rsidR="00734C54" w:rsidRPr="00734C54" w:rsidRDefault="00734C54" w:rsidP="00734C54">
            <w:pPr>
              <w:jc w:val="center"/>
            </w:pPr>
            <w:r w:rsidRPr="00734C54">
              <w:t>1668MHz – 1675MHz</w:t>
            </w:r>
          </w:p>
        </w:tc>
        <w:tc>
          <w:tcPr>
            <w:tcW w:w="3703" w:type="dxa"/>
          </w:tcPr>
          <w:p w14:paraId="17203E58" w14:textId="568EA31A" w:rsidR="00734C54" w:rsidRPr="00734C54" w:rsidRDefault="00734C54" w:rsidP="00734C54">
            <w:pPr>
              <w:jc w:val="center"/>
            </w:pPr>
            <w:r w:rsidRPr="00734C54">
              <w:t>1518MHz – 1559MHz</w:t>
            </w:r>
          </w:p>
        </w:tc>
        <w:tc>
          <w:tcPr>
            <w:tcW w:w="828" w:type="dxa"/>
          </w:tcPr>
          <w:p w14:paraId="4B047642" w14:textId="391402A6" w:rsidR="00734C54" w:rsidRPr="00734C54" w:rsidRDefault="00734C54" w:rsidP="00734C54">
            <w:pPr>
              <w:jc w:val="center"/>
            </w:pPr>
            <w:r w:rsidRPr="00734C54">
              <w:t>FDD</w:t>
            </w:r>
          </w:p>
        </w:tc>
      </w:tr>
    </w:tbl>
    <w:p w14:paraId="5DF3FEDC" w14:textId="77777777" w:rsidR="00A17E82" w:rsidRDefault="00A17E82" w:rsidP="001666BD"/>
    <w:p w14:paraId="237E01E0" w14:textId="13F19398" w:rsidR="00193B49" w:rsidRDefault="00193B49" w:rsidP="00193B49">
      <w:pPr>
        <w:pStyle w:val="Heading2"/>
      </w:pPr>
      <w:r>
        <w:t>2.1 Protection of Radioastronomy Bands</w:t>
      </w:r>
    </w:p>
    <w:p w14:paraId="6D8A969B" w14:textId="50F0124B" w:rsidR="00193B49" w:rsidRDefault="00193B49" w:rsidP="00193B49">
      <w:r w:rsidRPr="00193B49">
        <w:t xml:space="preserve">A </w:t>
      </w:r>
      <w:r w:rsidR="00821C2A">
        <w:t>specific aspect of</w:t>
      </w:r>
      <w:r>
        <w:t xml:space="preserve"> </w:t>
      </w:r>
      <w:r w:rsidR="00EE4D72">
        <w:t>L-band</w:t>
      </w:r>
      <w:r w:rsidR="00821C2A">
        <w:t>s</w:t>
      </w:r>
      <w:r w:rsidR="00EE4D72">
        <w:t xml:space="preserve"> is the </w:t>
      </w:r>
      <w:r w:rsidR="008B04E5">
        <w:t>close proximity to spectrum allocated for radioastronomy purposes. The two radioastronomy bands of</w:t>
      </w:r>
      <w:r w:rsidR="00046878">
        <w:t xml:space="preserve"> interest directly overlap with L-band and extended L-band respectively:</w:t>
      </w:r>
    </w:p>
    <w:p w14:paraId="390EE091" w14:textId="5C0F9DB2" w:rsidR="00046878" w:rsidRDefault="00046878" w:rsidP="00046878">
      <w:pPr>
        <w:pStyle w:val="ListParagraph"/>
        <w:numPr>
          <w:ilvl w:val="0"/>
          <w:numId w:val="4"/>
        </w:numPr>
      </w:pPr>
      <w:r>
        <w:t>1660-1660.5</w:t>
      </w:r>
      <w:r w:rsidR="009053DB">
        <w:t xml:space="preserve"> </w:t>
      </w:r>
      <w:r>
        <w:t>MHz</w:t>
      </w:r>
    </w:p>
    <w:p w14:paraId="4226F7AC" w14:textId="4E92428B" w:rsidR="00046878" w:rsidRDefault="00046878" w:rsidP="00046878">
      <w:pPr>
        <w:pStyle w:val="ListParagraph"/>
        <w:numPr>
          <w:ilvl w:val="0"/>
          <w:numId w:val="4"/>
        </w:numPr>
      </w:pPr>
      <w:r>
        <w:t>1668-1670</w:t>
      </w:r>
      <w:r w:rsidR="009053DB">
        <w:t xml:space="preserve"> </w:t>
      </w:r>
      <w:r>
        <w:t>MHz</w:t>
      </w:r>
    </w:p>
    <w:p w14:paraId="59438727" w14:textId="3E200821" w:rsidR="000F7C80" w:rsidRPr="00945CAE" w:rsidRDefault="000F7C80" w:rsidP="000F7C80">
      <w:pPr>
        <w:rPr>
          <w:b/>
          <w:bCs/>
          <w:i/>
          <w:iCs/>
        </w:rPr>
      </w:pPr>
      <w:r w:rsidRPr="00945CAE">
        <w:rPr>
          <w:b/>
          <w:bCs/>
          <w:i/>
          <w:iCs/>
        </w:rPr>
        <w:t xml:space="preserve">Observation </w:t>
      </w:r>
      <w:r w:rsidR="003C31BE">
        <w:rPr>
          <w:b/>
          <w:bCs/>
          <w:i/>
          <w:iCs/>
        </w:rPr>
        <w:t>1</w:t>
      </w:r>
      <w:r w:rsidRPr="00945CAE">
        <w:rPr>
          <w:b/>
          <w:bCs/>
          <w:i/>
          <w:iCs/>
        </w:rPr>
        <w:t xml:space="preserve">: </w:t>
      </w:r>
      <w:r w:rsidR="004074C8" w:rsidRPr="00945CAE">
        <w:rPr>
          <w:b/>
          <w:bCs/>
          <w:i/>
          <w:iCs/>
        </w:rPr>
        <w:t>There are two radioastronomy bands in close proximity to the spectrum licensed for L-band which must be protected.</w:t>
      </w:r>
    </w:p>
    <w:p w14:paraId="59E41818" w14:textId="676A40AB" w:rsidR="004074C8" w:rsidRPr="004074C8" w:rsidRDefault="004074C8" w:rsidP="000F7C80">
      <w:r>
        <w:t>The locations at which these frequencies are utilised are recorded in the ITU master international frequency register</w:t>
      </w:r>
      <w:r w:rsidR="004B7A12">
        <w:t>.</w:t>
      </w:r>
      <w:r w:rsidR="004375D1">
        <w:t xml:space="preserve">  The protection of these bands is stipulated in several documents</w:t>
      </w:r>
      <w:r w:rsidR="00C535BF">
        <w:t>.</w:t>
      </w:r>
    </w:p>
    <w:p w14:paraId="4424194C" w14:textId="5767682A" w:rsidR="00EB6659" w:rsidRPr="004074C8" w:rsidRDefault="00EB6659" w:rsidP="00EB6659">
      <w:pPr>
        <w:pStyle w:val="Heading3"/>
      </w:pPr>
      <w:r w:rsidRPr="004074C8">
        <w:t>2.1.1 ETSI EN 301 681</w:t>
      </w:r>
    </w:p>
    <w:p w14:paraId="595EBF89" w14:textId="61E13373" w:rsidR="00EB6659" w:rsidRDefault="00EB6659" w:rsidP="00EB6659">
      <w:r w:rsidRPr="00EB6659">
        <w:t>ETSI EN 301 681 harmonized standard specifies require</w:t>
      </w:r>
      <w:r>
        <w:t xml:space="preserve">ments for the protection of </w:t>
      </w:r>
      <w:proofErr w:type="spellStart"/>
      <w:r>
        <w:t>radiastronomy</w:t>
      </w:r>
      <w:proofErr w:type="spellEnd"/>
      <w:r>
        <w:t xml:space="preserve"> bands</w:t>
      </w:r>
      <w:r w:rsidR="000F7C80">
        <w:t>. In section 4.2.6 of the document, the protection of</w:t>
      </w:r>
      <w:r w:rsidR="004B7A12">
        <w:t xml:space="preserve"> </w:t>
      </w:r>
      <w:proofErr w:type="spellStart"/>
      <w:r w:rsidR="004B7A12">
        <w:t>radiastronomy</w:t>
      </w:r>
      <w:proofErr w:type="spellEnd"/>
      <w:r w:rsidR="004B7A12">
        <w:t xml:space="preserve"> services is mandated </w:t>
      </w:r>
      <w:r w:rsidR="00C85D30">
        <w:t>by disabling devices in the vicinity of radioastronomy stations recorded in the ITU master international frequency register.</w:t>
      </w:r>
    </w:p>
    <w:p w14:paraId="6948B3AE" w14:textId="00AB72B8" w:rsidR="009712C1" w:rsidRDefault="009712C1" w:rsidP="00EB6659">
      <w:r>
        <w:t>Requirement</w:t>
      </w:r>
      <w:r w:rsidR="00D4474C">
        <w:t xml:space="preserve">s are also set out for </w:t>
      </w:r>
      <w:r w:rsidR="003C68AB">
        <w:t>the activation of this disable function:</w:t>
      </w:r>
    </w:p>
    <w:p w14:paraId="3654D5DD" w14:textId="21E93D5C" w:rsidR="00540B64" w:rsidRDefault="00540B64" w:rsidP="00EB6659">
      <w:r>
        <w:t>“An MES which is in the carrier-on state shall not continue transmissions for a period of time longer than 1s after receipt of a transmission disable command</w:t>
      </w:r>
      <w:r w:rsidR="002012B6">
        <w:t>.”</w:t>
      </w:r>
    </w:p>
    <w:p w14:paraId="52F41DBF" w14:textId="624441BC" w:rsidR="00AC77A0" w:rsidRDefault="00C002AC" w:rsidP="00EB6659">
      <w:r>
        <w:t xml:space="preserve">The </w:t>
      </w:r>
      <w:r w:rsidR="008052A6">
        <w:t>spectrum emission</w:t>
      </w:r>
      <w:r w:rsidR="0023767E">
        <w:t>s when a transmission disable command is issued are dictated by the carrier-off state emissions mandated by the harmonized standard</w:t>
      </w:r>
      <w:r w:rsidR="00A96081">
        <w:t>:</w:t>
      </w:r>
    </w:p>
    <w:p w14:paraId="2752AD5C" w14:textId="201BCB2B" w:rsidR="00AC77A0" w:rsidRDefault="00AC77A0" w:rsidP="00AC77A0">
      <w:pPr>
        <w:pStyle w:val="Caption"/>
        <w:keepNext/>
        <w:jc w:val="center"/>
      </w:pPr>
      <w:r>
        <w:t xml:space="preserve">Table </w:t>
      </w:r>
      <w:r>
        <w:fldChar w:fldCharType="begin"/>
      </w:r>
      <w:r>
        <w:instrText xml:space="preserve"> SEQ Table \* ARABIC </w:instrText>
      </w:r>
      <w:r>
        <w:fldChar w:fldCharType="separate"/>
      </w:r>
      <w:r w:rsidR="00004133">
        <w:rPr>
          <w:noProof/>
        </w:rPr>
        <w:t>2</w:t>
      </w:r>
      <w:r>
        <w:fldChar w:fldCharType="end"/>
      </w:r>
      <w:r>
        <w:t xml:space="preserve"> EN 301 681 Carrier-off state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4"/>
        <w:gridCol w:w="1985"/>
        <w:gridCol w:w="1985"/>
        <w:gridCol w:w="1985"/>
      </w:tblGrid>
      <w:tr w:rsidR="00AC77A0" w14:paraId="5BCE9342" w14:textId="77777777" w:rsidTr="00AC77A0">
        <w:trPr>
          <w:trHeight w:val="412"/>
          <w:jc w:val="center"/>
        </w:trPr>
        <w:tc>
          <w:tcPr>
            <w:tcW w:w="2014" w:type="dxa"/>
          </w:tcPr>
          <w:p w14:paraId="57C31CB9" w14:textId="77777777" w:rsidR="00AC77A0" w:rsidRDefault="00AC77A0">
            <w:pPr>
              <w:pStyle w:val="TableParagraph"/>
              <w:spacing w:line="201" w:lineRule="exact"/>
              <w:ind w:left="20"/>
              <w:rPr>
                <w:b/>
                <w:sz w:val="18"/>
              </w:rPr>
            </w:pPr>
            <w:r>
              <w:rPr>
                <w:b/>
                <w:spacing w:val="-2"/>
                <w:sz w:val="18"/>
              </w:rPr>
              <w:t>Frequency</w:t>
            </w:r>
          </w:p>
          <w:p w14:paraId="7331DC1E" w14:textId="77777777" w:rsidR="00AC77A0" w:rsidRDefault="00AC77A0">
            <w:pPr>
              <w:pStyle w:val="TableParagraph"/>
              <w:spacing w:line="191" w:lineRule="exact"/>
              <w:ind w:left="20" w:right="6"/>
              <w:rPr>
                <w:b/>
                <w:sz w:val="18"/>
              </w:rPr>
            </w:pPr>
            <w:r>
              <w:rPr>
                <w:b/>
                <w:spacing w:val="-2"/>
                <w:sz w:val="18"/>
              </w:rPr>
              <w:t>(MHz)</w:t>
            </w:r>
          </w:p>
        </w:tc>
        <w:tc>
          <w:tcPr>
            <w:tcW w:w="1985" w:type="dxa"/>
          </w:tcPr>
          <w:p w14:paraId="5AD64EDA" w14:textId="77777777" w:rsidR="00AC77A0" w:rsidRDefault="00AC77A0">
            <w:pPr>
              <w:pStyle w:val="TableParagraph"/>
              <w:spacing w:line="201" w:lineRule="exact"/>
              <w:ind w:left="45" w:right="37"/>
              <w:rPr>
                <w:b/>
                <w:sz w:val="18"/>
              </w:rPr>
            </w:pPr>
            <w:r>
              <w:rPr>
                <w:b/>
                <w:spacing w:val="-4"/>
                <w:sz w:val="18"/>
              </w:rPr>
              <w:t>EIRP</w:t>
            </w:r>
          </w:p>
          <w:p w14:paraId="6A9BE705" w14:textId="77777777" w:rsidR="00AC77A0" w:rsidRDefault="00AC77A0">
            <w:pPr>
              <w:pStyle w:val="TableParagraph"/>
              <w:spacing w:line="191" w:lineRule="exact"/>
              <w:ind w:left="45" w:right="37"/>
              <w:rPr>
                <w:b/>
                <w:sz w:val="18"/>
              </w:rPr>
            </w:pPr>
            <w:r>
              <w:rPr>
                <w:b/>
                <w:spacing w:val="-2"/>
                <w:sz w:val="18"/>
              </w:rPr>
              <w:t>(</w:t>
            </w:r>
            <w:proofErr w:type="spellStart"/>
            <w:r>
              <w:rPr>
                <w:b/>
                <w:spacing w:val="-2"/>
                <w:sz w:val="18"/>
              </w:rPr>
              <w:t>dBW</w:t>
            </w:r>
            <w:proofErr w:type="spellEnd"/>
            <w:r>
              <w:rPr>
                <w:b/>
                <w:spacing w:val="-2"/>
                <w:sz w:val="18"/>
              </w:rPr>
              <w:t>)</w:t>
            </w:r>
          </w:p>
        </w:tc>
        <w:tc>
          <w:tcPr>
            <w:tcW w:w="1985" w:type="dxa"/>
          </w:tcPr>
          <w:p w14:paraId="79FAA53F" w14:textId="77777777" w:rsidR="00AC77A0" w:rsidRDefault="00AC77A0">
            <w:pPr>
              <w:pStyle w:val="TableParagraph"/>
              <w:spacing w:line="201" w:lineRule="exact"/>
              <w:ind w:left="50" w:right="37"/>
              <w:rPr>
                <w:b/>
                <w:sz w:val="18"/>
              </w:rPr>
            </w:pPr>
            <w:r>
              <w:rPr>
                <w:b/>
                <w:spacing w:val="-2"/>
                <w:sz w:val="18"/>
              </w:rPr>
              <w:t>Measurement</w:t>
            </w:r>
          </w:p>
          <w:p w14:paraId="1FA25A73" w14:textId="77777777" w:rsidR="00AC77A0" w:rsidRDefault="00AC77A0">
            <w:pPr>
              <w:pStyle w:val="TableParagraph"/>
              <w:spacing w:line="191" w:lineRule="exact"/>
              <w:ind w:left="47" w:right="37"/>
              <w:rPr>
                <w:b/>
                <w:sz w:val="18"/>
              </w:rPr>
            </w:pPr>
            <w:r>
              <w:rPr>
                <w:b/>
                <w:spacing w:val="-2"/>
                <w:sz w:val="18"/>
              </w:rPr>
              <w:t>bandwidth</w:t>
            </w:r>
          </w:p>
        </w:tc>
        <w:tc>
          <w:tcPr>
            <w:tcW w:w="1985" w:type="dxa"/>
          </w:tcPr>
          <w:p w14:paraId="3274AB4B" w14:textId="77777777" w:rsidR="00AC77A0" w:rsidRDefault="00AC77A0">
            <w:pPr>
              <w:pStyle w:val="TableParagraph"/>
              <w:spacing w:line="201" w:lineRule="exact"/>
              <w:ind w:left="50" w:right="37"/>
              <w:rPr>
                <w:b/>
                <w:sz w:val="18"/>
              </w:rPr>
            </w:pPr>
            <w:r>
              <w:rPr>
                <w:b/>
                <w:spacing w:val="-2"/>
                <w:sz w:val="18"/>
              </w:rPr>
              <w:t>Measurement</w:t>
            </w:r>
          </w:p>
          <w:p w14:paraId="40DC3AF5" w14:textId="77777777" w:rsidR="00AC77A0" w:rsidRDefault="00AC77A0">
            <w:pPr>
              <w:pStyle w:val="TableParagraph"/>
              <w:spacing w:line="191" w:lineRule="exact"/>
              <w:ind w:left="47" w:right="37"/>
              <w:rPr>
                <w:b/>
                <w:sz w:val="18"/>
              </w:rPr>
            </w:pPr>
            <w:r>
              <w:rPr>
                <w:b/>
                <w:spacing w:val="-2"/>
                <w:sz w:val="18"/>
              </w:rPr>
              <w:t>method</w:t>
            </w:r>
          </w:p>
        </w:tc>
      </w:tr>
      <w:tr w:rsidR="00AC77A0" w14:paraId="4EF8FA6F" w14:textId="77777777" w:rsidTr="00AC77A0">
        <w:trPr>
          <w:trHeight w:val="208"/>
          <w:jc w:val="center"/>
        </w:trPr>
        <w:tc>
          <w:tcPr>
            <w:tcW w:w="2014" w:type="dxa"/>
          </w:tcPr>
          <w:p w14:paraId="1EF4250B" w14:textId="77777777" w:rsidR="00AC77A0" w:rsidRDefault="00AC77A0">
            <w:pPr>
              <w:pStyle w:val="TableParagraph"/>
              <w:spacing w:before="1" w:line="187" w:lineRule="exact"/>
              <w:ind w:left="20" w:right="5"/>
              <w:rPr>
                <w:sz w:val="18"/>
              </w:rPr>
            </w:pPr>
            <w:r>
              <w:rPr>
                <w:sz w:val="18"/>
              </w:rPr>
              <w:t>30 to</w:t>
            </w:r>
            <w:r>
              <w:rPr>
                <w:spacing w:val="-2"/>
                <w:sz w:val="18"/>
              </w:rPr>
              <w:t xml:space="preserve"> </w:t>
            </w:r>
            <w:r>
              <w:rPr>
                <w:sz w:val="18"/>
              </w:rPr>
              <w:t xml:space="preserve">1 </w:t>
            </w:r>
            <w:r>
              <w:rPr>
                <w:spacing w:val="-5"/>
                <w:sz w:val="18"/>
              </w:rPr>
              <w:t>000</w:t>
            </w:r>
          </w:p>
        </w:tc>
        <w:tc>
          <w:tcPr>
            <w:tcW w:w="1985" w:type="dxa"/>
          </w:tcPr>
          <w:p w14:paraId="173DD736" w14:textId="77777777" w:rsidR="00AC77A0" w:rsidRDefault="00AC77A0">
            <w:pPr>
              <w:pStyle w:val="TableParagraph"/>
              <w:spacing w:before="1" w:line="187" w:lineRule="exact"/>
              <w:ind w:left="14" w:right="50"/>
              <w:rPr>
                <w:sz w:val="18"/>
              </w:rPr>
            </w:pPr>
            <w:r>
              <w:rPr>
                <w:sz w:val="18"/>
              </w:rPr>
              <w:t>-</w:t>
            </w:r>
            <w:r>
              <w:rPr>
                <w:spacing w:val="-5"/>
                <w:sz w:val="18"/>
              </w:rPr>
              <w:t>87</w:t>
            </w:r>
          </w:p>
        </w:tc>
        <w:tc>
          <w:tcPr>
            <w:tcW w:w="1985" w:type="dxa"/>
          </w:tcPr>
          <w:p w14:paraId="3A75FFA5" w14:textId="77777777" w:rsidR="00AC77A0" w:rsidRDefault="00AC77A0">
            <w:pPr>
              <w:pStyle w:val="TableParagraph"/>
              <w:spacing w:before="1" w:line="187" w:lineRule="exact"/>
              <w:ind w:left="47" w:right="37"/>
              <w:rPr>
                <w:sz w:val="18"/>
              </w:rPr>
            </w:pPr>
            <w:r>
              <w:rPr>
                <w:sz w:val="18"/>
              </w:rPr>
              <w:t>100</w:t>
            </w:r>
            <w:r>
              <w:rPr>
                <w:spacing w:val="-2"/>
                <w:sz w:val="18"/>
              </w:rPr>
              <w:t xml:space="preserve"> </w:t>
            </w:r>
            <w:r>
              <w:rPr>
                <w:spacing w:val="-5"/>
                <w:sz w:val="18"/>
              </w:rPr>
              <w:t>kHz</w:t>
            </w:r>
          </w:p>
        </w:tc>
        <w:tc>
          <w:tcPr>
            <w:tcW w:w="1985" w:type="dxa"/>
          </w:tcPr>
          <w:p w14:paraId="5BDD2C4A" w14:textId="77777777" w:rsidR="00AC77A0" w:rsidRDefault="00AC77A0">
            <w:pPr>
              <w:pStyle w:val="TableParagraph"/>
              <w:spacing w:before="1" w:line="187" w:lineRule="exact"/>
              <w:ind w:left="46" w:right="37"/>
              <w:rPr>
                <w:sz w:val="18"/>
              </w:rPr>
            </w:pPr>
            <w:r>
              <w:rPr>
                <w:sz w:val="18"/>
              </w:rPr>
              <w:t>peak</w:t>
            </w:r>
            <w:r>
              <w:rPr>
                <w:spacing w:val="-3"/>
                <w:sz w:val="18"/>
              </w:rPr>
              <w:t xml:space="preserve"> </w:t>
            </w:r>
            <w:r>
              <w:rPr>
                <w:spacing w:val="-4"/>
                <w:sz w:val="18"/>
              </w:rPr>
              <w:t>hold</w:t>
            </w:r>
          </w:p>
        </w:tc>
      </w:tr>
      <w:tr w:rsidR="00AC77A0" w14:paraId="677ECC4D" w14:textId="77777777" w:rsidTr="00AC77A0">
        <w:trPr>
          <w:trHeight w:val="205"/>
          <w:jc w:val="center"/>
        </w:trPr>
        <w:tc>
          <w:tcPr>
            <w:tcW w:w="2014" w:type="dxa"/>
          </w:tcPr>
          <w:p w14:paraId="40AC4F36" w14:textId="77777777" w:rsidR="00AC77A0" w:rsidRDefault="00AC77A0">
            <w:pPr>
              <w:pStyle w:val="TableParagraph"/>
              <w:spacing w:line="186" w:lineRule="exact"/>
              <w:ind w:left="20" w:right="6"/>
              <w:rPr>
                <w:sz w:val="18"/>
              </w:rPr>
            </w:pPr>
            <w:r>
              <w:rPr>
                <w:sz w:val="18"/>
              </w:rPr>
              <w:t>1</w:t>
            </w:r>
            <w:r>
              <w:rPr>
                <w:spacing w:val="1"/>
                <w:sz w:val="18"/>
              </w:rPr>
              <w:t xml:space="preserve"> </w:t>
            </w:r>
            <w:r>
              <w:rPr>
                <w:sz w:val="18"/>
              </w:rPr>
              <w:t>000</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525</w:t>
            </w:r>
          </w:p>
        </w:tc>
        <w:tc>
          <w:tcPr>
            <w:tcW w:w="1985" w:type="dxa"/>
          </w:tcPr>
          <w:p w14:paraId="2D67B11F" w14:textId="77777777" w:rsidR="00AC77A0" w:rsidRDefault="00AC77A0">
            <w:pPr>
              <w:pStyle w:val="TableParagraph"/>
              <w:spacing w:line="186" w:lineRule="exact"/>
              <w:ind w:left="14" w:right="50"/>
              <w:rPr>
                <w:sz w:val="18"/>
              </w:rPr>
            </w:pPr>
            <w:r>
              <w:rPr>
                <w:sz w:val="18"/>
              </w:rPr>
              <w:t>-</w:t>
            </w:r>
            <w:r>
              <w:rPr>
                <w:spacing w:val="-5"/>
                <w:sz w:val="18"/>
              </w:rPr>
              <w:t>87</w:t>
            </w:r>
          </w:p>
        </w:tc>
        <w:tc>
          <w:tcPr>
            <w:tcW w:w="1985" w:type="dxa"/>
          </w:tcPr>
          <w:p w14:paraId="7E02B851" w14:textId="77777777" w:rsidR="00AC77A0" w:rsidRDefault="00AC77A0">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4965F542" w14:textId="77777777" w:rsidR="00AC77A0" w:rsidRDefault="00AC77A0">
            <w:pPr>
              <w:pStyle w:val="TableParagraph"/>
              <w:spacing w:line="186" w:lineRule="exact"/>
              <w:ind w:left="47" w:right="37"/>
              <w:rPr>
                <w:sz w:val="18"/>
              </w:rPr>
            </w:pPr>
            <w:r>
              <w:rPr>
                <w:sz w:val="18"/>
              </w:rPr>
              <w:t>peak</w:t>
            </w:r>
            <w:r>
              <w:rPr>
                <w:spacing w:val="-3"/>
                <w:sz w:val="18"/>
              </w:rPr>
              <w:t xml:space="preserve"> </w:t>
            </w:r>
            <w:r>
              <w:rPr>
                <w:spacing w:val="-4"/>
                <w:sz w:val="18"/>
              </w:rPr>
              <w:t>hold</w:t>
            </w:r>
          </w:p>
        </w:tc>
      </w:tr>
      <w:tr w:rsidR="00AC77A0" w14:paraId="7B699674" w14:textId="77777777" w:rsidTr="00AC77A0">
        <w:trPr>
          <w:trHeight w:val="414"/>
          <w:jc w:val="center"/>
        </w:trPr>
        <w:tc>
          <w:tcPr>
            <w:tcW w:w="2014" w:type="dxa"/>
          </w:tcPr>
          <w:p w14:paraId="06709253" w14:textId="77777777" w:rsidR="00AC77A0" w:rsidRDefault="00AC77A0">
            <w:pPr>
              <w:pStyle w:val="TableParagraph"/>
              <w:spacing w:before="1"/>
              <w:ind w:left="20" w:right="7"/>
              <w:rPr>
                <w:sz w:val="18"/>
              </w:rPr>
            </w:pPr>
            <w:r>
              <w:rPr>
                <w:sz w:val="18"/>
              </w:rPr>
              <w:t>1 525</w:t>
            </w:r>
            <w:r>
              <w:rPr>
                <w:spacing w:val="-2"/>
                <w:sz w:val="18"/>
              </w:rPr>
              <w:t xml:space="preserve"> </w:t>
            </w:r>
            <w:r>
              <w:rPr>
                <w:sz w:val="18"/>
              </w:rPr>
              <w:t>to 1</w:t>
            </w:r>
            <w:r>
              <w:rPr>
                <w:spacing w:val="-2"/>
                <w:sz w:val="18"/>
              </w:rPr>
              <w:t xml:space="preserve"> </w:t>
            </w:r>
            <w:r>
              <w:rPr>
                <w:spacing w:val="-5"/>
                <w:sz w:val="18"/>
              </w:rPr>
              <w:t>559</w:t>
            </w:r>
          </w:p>
        </w:tc>
        <w:tc>
          <w:tcPr>
            <w:tcW w:w="1985" w:type="dxa"/>
          </w:tcPr>
          <w:p w14:paraId="27AA204B" w14:textId="77777777" w:rsidR="00AC77A0" w:rsidRDefault="00AC77A0">
            <w:pPr>
              <w:pStyle w:val="TableParagraph"/>
              <w:spacing w:before="1" w:line="207" w:lineRule="exact"/>
              <w:ind w:left="14" w:right="51"/>
              <w:rPr>
                <w:sz w:val="18"/>
              </w:rPr>
            </w:pPr>
            <w:r>
              <w:rPr>
                <w:sz w:val="18"/>
              </w:rPr>
              <w:t>-</w:t>
            </w:r>
            <w:r>
              <w:rPr>
                <w:spacing w:val="-5"/>
                <w:sz w:val="18"/>
              </w:rPr>
              <w:t>97</w:t>
            </w:r>
          </w:p>
          <w:p w14:paraId="44A5A22E" w14:textId="77777777" w:rsidR="00AC77A0" w:rsidRDefault="00AC77A0">
            <w:pPr>
              <w:pStyle w:val="TableParagraph"/>
              <w:spacing w:line="187" w:lineRule="exact"/>
              <w:ind w:left="46" w:right="37"/>
              <w:rPr>
                <w:sz w:val="18"/>
              </w:rPr>
            </w:pPr>
            <w:r>
              <w:rPr>
                <w:sz w:val="18"/>
              </w:rPr>
              <w:t>(see</w:t>
            </w:r>
            <w:r>
              <w:rPr>
                <w:spacing w:val="-2"/>
                <w:sz w:val="18"/>
              </w:rPr>
              <w:t xml:space="preserve"> </w:t>
            </w:r>
            <w:r>
              <w:rPr>
                <w:sz w:val="18"/>
              </w:rPr>
              <w:t>note</w:t>
            </w:r>
            <w:r>
              <w:rPr>
                <w:spacing w:val="-2"/>
                <w:sz w:val="18"/>
              </w:rPr>
              <w:t xml:space="preserve"> </w:t>
            </w:r>
            <w:r>
              <w:rPr>
                <w:spacing w:val="-5"/>
                <w:sz w:val="18"/>
              </w:rPr>
              <w:t>3)</w:t>
            </w:r>
          </w:p>
        </w:tc>
        <w:tc>
          <w:tcPr>
            <w:tcW w:w="1985" w:type="dxa"/>
          </w:tcPr>
          <w:p w14:paraId="214B9CC0" w14:textId="77777777" w:rsidR="00AC77A0" w:rsidRDefault="00AC77A0">
            <w:pPr>
              <w:pStyle w:val="TableParagraph"/>
              <w:spacing w:before="1"/>
              <w:ind w:left="46" w:right="37"/>
              <w:rPr>
                <w:sz w:val="18"/>
              </w:rPr>
            </w:pPr>
            <w:r>
              <w:rPr>
                <w:sz w:val="18"/>
              </w:rPr>
              <w:t>100</w:t>
            </w:r>
            <w:r>
              <w:rPr>
                <w:spacing w:val="-2"/>
                <w:sz w:val="18"/>
              </w:rPr>
              <w:t xml:space="preserve"> </w:t>
            </w:r>
            <w:r>
              <w:rPr>
                <w:spacing w:val="-5"/>
                <w:sz w:val="18"/>
              </w:rPr>
              <w:t>kHz</w:t>
            </w:r>
          </w:p>
        </w:tc>
        <w:tc>
          <w:tcPr>
            <w:tcW w:w="1985" w:type="dxa"/>
          </w:tcPr>
          <w:p w14:paraId="6CC923A6" w14:textId="77777777" w:rsidR="00AC77A0" w:rsidRDefault="00AC77A0">
            <w:pPr>
              <w:pStyle w:val="TableParagraph"/>
              <w:spacing w:before="1"/>
              <w:ind w:left="47" w:right="37"/>
              <w:rPr>
                <w:sz w:val="18"/>
              </w:rPr>
            </w:pPr>
            <w:r>
              <w:rPr>
                <w:spacing w:val="-2"/>
                <w:sz w:val="18"/>
              </w:rPr>
              <w:t>average</w:t>
            </w:r>
          </w:p>
        </w:tc>
      </w:tr>
      <w:tr w:rsidR="00AC77A0" w14:paraId="66ADEBEC" w14:textId="77777777" w:rsidTr="00AC77A0">
        <w:trPr>
          <w:trHeight w:val="414"/>
          <w:jc w:val="center"/>
        </w:trPr>
        <w:tc>
          <w:tcPr>
            <w:tcW w:w="2014" w:type="dxa"/>
          </w:tcPr>
          <w:p w14:paraId="1CBDE9C9" w14:textId="77777777" w:rsidR="00AC77A0" w:rsidRDefault="00AC77A0">
            <w:pPr>
              <w:pStyle w:val="TableParagraph"/>
              <w:spacing w:line="206" w:lineRule="exact"/>
              <w:ind w:left="20" w:right="6"/>
              <w:rPr>
                <w:sz w:val="18"/>
              </w:rPr>
            </w:pPr>
            <w:r>
              <w:rPr>
                <w:sz w:val="18"/>
              </w:rPr>
              <w:t>1</w:t>
            </w:r>
            <w:r>
              <w:rPr>
                <w:spacing w:val="1"/>
                <w:sz w:val="18"/>
              </w:rPr>
              <w:t xml:space="preserve"> </w:t>
            </w:r>
            <w:r>
              <w:rPr>
                <w:sz w:val="18"/>
              </w:rPr>
              <w:t>559</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610</w:t>
            </w:r>
          </w:p>
        </w:tc>
        <w:tc>
          <w:tcPr>
            <w:tcW w:w="1985" w:type="dxa"/>
          </w:tcPr>
          <w:p w14:paraId="3CBE916C" w14:textId="77777777" w:rsidR="00AC77A0" w:rsidRDefault="00AC77A0">
            <w:pPr>
              <w:pStyle w:val="TableParagraph"/>
              <w:spacing w:line="206" w:lineRule="exact"/>
              <w:ind w:left="14" w:right="50"/>
              <w:rPr>
                <w:sz w:val="18"/>
              </w:rPr>
            </w:pPr>
            <w:r>
              <w:rPr>
                <w:sz w:val="18"/>
              </w:rPr>
              <w:t>-</w:t>
            </w:r>
            <w:r>
              <w:rPr>
                <w:spacing w:val="-5"/>
                <w:sz w:val="18"/>
              </w:rPr>
              <w:t>70</w:t>
            </w:r>
          </w:p>
        </w:tc>
        <w:tc>
          <w:tcPr>
            <w:tcW w:w="1985" w:type="dxa"/>
          </w:tcPr>
          <w:p w14:paraId="75DDA80F" w14:textId="77777777" w:rsidR="00AC77A0" w:rsidRDefault="00AC77A0">
            <w:pPr>
              <w:pStyle w:val="TableParagraph"/>
              <w:spacing w:line="206" w:lineRule="exact"/>
              <w:ind w:left="45" w:right="37"/>
              <w:rPr>
                <w:sz w:val="18"/>
              </w:rPr>
            </w:pPr>
            <w:r>
              <w:rPr>
                <w:sz w:val="18"/>
              </w:rPr>
              <w:t>1</w:t>
            </w:r>
            <w:r>
              <w:rPr>
                <w:spacing w:val="1"/>
                <w:sz w:val="18"/>
              </w:rPr>
              <w:t xml:space="preserve"> </w:t>
            </w:r>
            <w:r>
              <w:rPr>
                <w:spacing w:val="-5"/>
                <w:sz w:val="18"/>
              </w:rPr>
              <w:t>MHz</w:t>
            </w:r>
          </w:p>
          <w:p w14:paraId="538540C2" w14:textId="77777777" w:rsidR="00AC77A0" w:rsidRDefault="00AC77A0">
            <w:pPr>
              <w:pStyle w:val="TableParagraph"/>
              <w:spacing w:line="189" w:lineRule="exact"/>
              <w:ind w:left="51" w:right="37"/>
              <w:rPr>
                <w:sz w:val="18"/>
              </w:rPr>
            </w:pPr>
            <w:r>
              <w:rPr>
                <w:sz w:val="18"/>
              </w:rPr>
              <w:t>(see</w:t>
            </w:r>
            <w:r>
              <w:rPr>
                <w:spacing w:val="-2"/>
                <w:sz w:val="18"/>
              </w:rPr>
              <w:t xml:space="preserve"> </w:t>
            </w:r>
            <w:r>
              <w:rPr>
                <w:sz w:val="18"/>
              </w:rPr>
              <w:t>note</w:t>
            </w:r>
            <w:r>
              <w:rPr>
                <w:spacing w:val="-2"/>
                <w:sz w:val="18"/>
              </w:rPr>
              <w:t xml:space="preserve"> </w:t>
            </w:r>
            <w:r>
              <w:rPr>
                <w:spacing w:val="-5"/>
                <w:sz w:val="18"/>
              </w:rPr>
              <w:t>1)</w:t>
            </w:r>
          </w:p>
        </w:tc>
        <w:tc>
          <w:tcPr>
            <w:tcW w:w="1985" w:type="dxa"/>
          </w:tcPr>
          <w:p w14:paraId="3A122F50" w14:textId="77777777" w:rsidR="00AC77A0" w:rsidRDefault="00AC77A0">
            <w:pPr>
              <w:pStyle w:val="TableParagraph"/>
              <w:spacing w:line="206" w:lineRule="exact"/>
              <w:ind w:left="510" w:right="340" w:firstLine="153"/>
              <w:jc w:val="left"/>
              <w:rPr>
                <w:sz w:val="18"/>
              </w:rPr>
            </w:pPr>
            <w:r>
              <w:rPr>
                <w:spacing w:val="-2"/>
                <w:sz w:val="18"/>
              </w:rPr>
              <w:t xml:space="preserve">average </w:t>
            </w:r>
            <w:r>
              <w:rPr>
                <w:sz w:val="18"/>
              </w:rPr>
              <w:t>(see</w:t>
            </w:r>
            <w:r>
              <w:rPr>
                <w:spacing w:val="-15"/>
                <w:sz w:val="18"/>
              </w:rPr>
              <w:t xml:space="preserve"> </w:t>
            </w:r>
            <w:r>
              <w:rPr>
                <w:sz w:val="18"/>
              </w:rPr>
              <w:t>note</w:t>
            </w:r>
            <w:r>
              <w:rPr>
                <w:spacing w:val="-12"/>
                <w:sz w:val="18"/>
              </w:rPr>
              <w:t xml:space="preserve"> </w:t>
            </w:r>
            <w:r>
              <w:rPr>
                <w:sz w:val="18"/>
              </w:rPr>
              <w:t>2)</w:t>
            </w:r>
          </w:p>
        </w:tc>
      </w:tr>
      <w:tr w:rsidR="00AC77A0" w14:paraId="68EE4956" w14:textId="77777777" w:rsidTr="00AC77A0">
        <w:trPr>
          <w:trHeight w:val="205"/>
          <w:jc w:val="center"/>
        </w:trPr>
        <w:tc>
          <w:tcPr>
            <w:tcW w:w="2014" w:type="dxa"/>
          </w:tcPr>
          <w:p w14:paraId="3940B119" w14:textId="77777777" w:rsidR="00AC77A0" w:rsidRDefault="00AC77A0">
            <w:pPr>
              <w:pStyle w:val="TableParagraph"/>
              <w:spacing w:line="186" w:lineRule="exact"/>
              <w:ind w:left="20" w:right="5"/>
              <w:rPr>
                <w:sz w:val="18"/>
              </w:rPr>
            </w:pPr>
            <w:r>
              <w:rPr>
                <w:sz w:val="18"/>
              </w:rPr>
              <w:t>1</w:t>
            </w:r>
            <w:r>
              <w:rPr>
                <w:spacing w:val="-1"/>
                <w:sz w:val="18"/>
              </w:rPr>
              <w:t xml:space="preserve"> </w:t>
            </w:r>
            <w:r>
              <w:rPr>
                <w:sz w:val="18"/>
              </w:rPr>
              <w:t>610</w:t>
            </w:r>
            <w:r>
              <w:rPr>
                <w:spacing w:val="-2"/>
                <w:sz w:val="18"/>
              </w:rPr>
              <w:t xml:space="preserve"> </w:t>
            </w:r>
            <w:r>
              <w:rPr>
                <w:sz w:val="18"/>
              </w:rPr>
              <w:t>to</w:t>
            </w:r>
            <w:r>
              <w:rPr>
                <w:spacing w:val="-1"/>
                <w:sz w:val="18"/>
              </w:rPr>
              <w:t xml:space="preserve"> </w:t>
            </w:r>
            <w:r>
              <w:rPr>
                <w:sz w:val="18"/>
              </w:rPr>
              <w:t xml:space="preserve">12 </w:t>
            </w:r>
            <w:r>
              <w:rPr>
                <w:spacing w:val="-5"/>
                <w:sz w:val="18"/>
              </w:rPr>
              <w:t>750</w:t>
            </w:r>
          </w:p>
        </w:tc>
        <w:tc>
          <w:tcPr>
            <w:tcW w:w="1985" w:type="dxa"/>
          </w:tcPr>
          <w:p w14:paraId="01D6E94C" w14:textId="77777777" w:rsidR="00AC77A0" w:rsidRDefault="00AC77A0">
            <w:pPr>
              <w:pStyle w:val="TableParagraph"/>
              <w:spacing w:line="186" w:lineRule="exact"/>
              <w:ind w:left="14" w:right="50"/>
              <w:rPr>
                <w:sz w:val="18"/>
              </w:rPr>
            </w:pPr>
            <w:r>
              <w:rPr>
                <w:sz w:val="18"/>
              </w:rPr>
              <w:t>-</w:t>
            </w:r>
            <w:r>
              <w:rPr>
                <w:spacing w:val="-5"/>
                <w:sz w:val="18"/>
              </w:rPr>
              <w:t>87</w:t>
            </w:r>
          </w:p>
        </w:tc>
        <w:tc>
          <w:tcPr>
            <w:tcW w:w="1985" w:type="dxa"/>
          </w:tcPr>
          <w:p w14:paraId="2CC0BA97" w14:textId="77777777" w:rsidR="00AC77A0" w:rsidRDefault="00AC77A0">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78C2EC40" w14:textId="77777777" w:rsidR="00AC77A0" w:rsidRDefault="00AC77A0">
            <w:pPr>
              <w:pStyle w:val="TableParagraph"/>
              <w:spacing w:line="186" w:lineRule="exact"/>
              <w:ind w:left="46" w:right="37"/>
              <w:rPr>
                <w:sz w:val="18"/>
              </w:rPr>
            </w:pPr>
            <w:r>
              <w:rPr>
                <w:sz w:val="18"/>
              </w:rPr>
              <w:t>peak</w:t>
            </w:r>
            <w:r>
              <w:rPr>
                <w:spacing w:val="-3"/>
                <w:sz w:val="18"/>
              </w:rPr>
              <w:t xml:space="preserve"> </w:t>
            </w:r>
            <w:r>
              <w:rPr>
                <w:spacing w:val="-4"/>
                <w:sz w:val="18"/>
              </w:rPr>
              <w:t>hold</w:t>
            </w:r>
          </w:p>
        </w:tc>
      </w:tr>
      <w:tr w:rsidR="00AC77A0" w14:paraId="06331F08" w14:textId="77777777" w:rsidTr="00AC77A0">
        <w:trPr>
          <w:trHeight w:val="1448"/>
          <w:jc w:val="center"/>
        </w:trPr>
        <w:tc>
          <w:tcPr>
            <w:tcW w:w="7969" w:type="dxa"/>
            <w:gridSpan w:val="4"/>
          </w:tcPr>
          <w:p w14:paraId="18804C46" w14:textId="77777777" w:rsidR="00AC77A0" w:rsidRDefault="00AC77A0">
            <w:pPr>
              <w:pStyle w:val="TableParagraph"/>
              <w:ind w:left="880" w:hanging="853"/>
              <w:jc w:val="left"/>
              <w:rPr>
                <w:sz w:val="18"/>
              </w:rPr>
            </w:pPr>
            <w:r>
              <w:rPr>
                <w:sz w:val="18"/>
              </w:rPr>
              <w:t>NOTE</w:t>
            </w:r>
            <w:r>
              <w:rPr>
                <w:spacing w:val="-2"/>
                <w:sz w:val="18"/>
              </w:rPr>
              <w:t xml:space="preserve"> </w:t>
            </w:r>
            <w:r>
              <w:rPr>
                <w:sz w:val="18"/>
              </w:rPr>
              <w:t>1:</w:t>
            </w:r>
            <w:r>
              <w:rPr>
                <w:spacing w:val="80"/>
                <w:sz w:val="18"/>
              </w:rPr>
              <w:t xml:space="preserve"> </w:t>
            </w:r>
            <w:r>
              <w:rPr>
                <w:sz w:val="18"/>
              </w:rPr>
              <w:t>Measurement</w:t>
            </w:r>
            <w:r>
              <w:rPr>
                <w:spacing w:val="-4"/>
                <w:sz w:val="18"/>
              </w:rPr>
              <w:t xml:space="preserve"> </w:t>
            </w:r>
            <w:r>
              <w:rPr>
                <w:sz w:val="18"/>
              </w:rPr>
              <w:t>bandwidths</w:t>
            </w:r>
            <w:r>
              <w:rPr>
                <w:spacing w:val="-4"/>
                <w:sz w:val="18"/>
              </w:rPr>
              <w:t xml:space="preserve"> </w:t>
            </w:r>
            <w:r>
              <w:rPr>
                <w:sz w:val="18"/>
              </w:rPr>
              <w:t>less</w:t>
            </w:r>
            <w:r>
              <w:rPr>
                <w:spacing w:val="-3"/>
                <w:sz w:val="18"/>
              </w:rPr>
              <w:t xml:space="preserve"> </w:t>
            </w:r>
            <w:r>
              <w:rPr>
                <w:sz w:val="18"/>
              </w:rPr>
              <w:t>than</w:t>
            </w:r>
            <w:r>
              <w:rPr>
                <w:spacing w:val="-4"/>
                <w:sz w:val="18"/>
              </w:rPr>
              <w:t xml:space="preserve"> </w:t>
            </w:r>
            <w:r>
              <w:rPr>
                <w:sz w:val="18"/>
              </w:rPr>
              <w:t>1</w:t>
            </w:r>
            <w:r>
              <w:rPr>
                <w:spacing w:val="-2"/>
                <w:sz w:val="18"/>
              </w:rPr>
              <w:t xml:space="preserve"> </w:t>
            </w:r>
            <w:r>
              <w:rPr>
                <w:sz w:val="18"/>
              </w:rPr>
              <w:t>MHz</w:t>
            </w:r>
            <w:r>
              <w:rPr>
                <w:spacing w:val="-3"/>
                <w:sz w:val="18"/>
              </w:rPr>
              <w:t xml:space="preserve"> </w:t>
            </w:r>
            <w:r>
              <w:rPr>
                <w:sz w:val="18"/>
              </w:rPr>
              <w:t>are</w:t>
            </w:r>
            <w:r>
              <w:rPr>
                <w:spacing w:val="-2"/>
                <w:sz w:val="18"/>
              </w:rPr>
              <w:t xml:space="preserve"> </w:t>
            </w:r>
            <w:r>
              <w:rPr>
                <w:sz w:val="18"/>
              </w:rPr>
              <w:t>allowable</w:t>
            </w:r>
            <w:r>
              <w:rPr>
                <w:spacing w:val="-2"/>
                <w:sz w:val="18"/>
              </w:rPr>
              <w:t xml:space="preserve"> </w:t>
            </w:r>
            <w:r>
              <w:rPr>
                <w:sz w:val="18"/>
              </w:rPr>
              <w:t>provided</w:t>
            </w:r>
            <w:r>
              <w:rPr>
                <w:spacing w:val="-2"/>
                <w:sz w:val="18"/>
              </w:rPr>
              <w:t xml:space="preserve"> </w:t>
            </w:r>
            <w:r>
              <w:rPr>
                <w:sz w:val="18"/>
              </w:rPr>
              <w:t>the</w:t>
            </w:r>
            <w:r>
              <w:rPr>
                <w:spacing w:val="-2"/>
                <w:sz w:val="18"/>
              </w:rPr>
              <w:t xml:space="preserve"> </w:t>
            </w:r>
            <w:r>
              <w:rPr>
                <w:sz w:val="18"/>
              </w:rPr>
              <w:t>power</w:t>
            </w:r>
            <w:r>
              <w:rPr>
                <w:spacing w:val="-1"/>
                <w:sz w:val="18"/>
              </w:rPr>
              <w:t xml:space="preserve"> </w:t>
            </w:r>
            <w:r>
              <w:rPr>
                <w:sz w:val="18"/>
              </w:rPr>
              <w:t>in</w:t>
            </w:r>
            <w:r>
              <w:rPr>
                <w:spacing w:val="-4"/>
                <w:sz w:val="18"/>
              </w:rPr>
              <w:t xml:space="preserve"> </w:t>
            </w:r>
            <w:r>
              <w:rPr>
                <w:sz w:val="18"/>
              </w:rPr>
              <w:t xml:space="preserve">the narrower bandwidth is integrated over 1 </w:t>
            </w:r>
            <w:proofErr w:type="spellStart"/>
            <w:r>
              <w:rPr>
                <w:sz w:val="18"/>
              </w:rPr>
              <w:t>MHz.</w:t>
            </w:r>
            <w:proofErr w:type="spellEnd"/>
          </w:p>
          <w:p w14:paraId="0CFADFB7" w14:textId="77777777" w:rsidR="00AC77A0" w:rsidRDefault="00AC77A0">
            <w:pPr>
              <w:pStyle w:val="TableParagraph"/>
              <w:ind w:left="880" w:hanging="853"/>
              <w:jc w:val="left"/>
              <w:rPr>
                <w:sz w:val="18"/>
              </w:rPr>
            </w:pPr>
            <w:r>
              <w:rPr>
                <w:sz w:val="18"/>
              </w:rPr>
              <w:t>NOTE</w:t>
            </w:r>
            <w:r>
              <w:rPr>
                <w:spacing w:val="-2"/>
                <w:sz w:val="18"/>
              </w:rPr>
              <w:t xml:space="preserve"> </w:t>
            </w:r>
            <w:r>
              <w:rPr>
                <w:sz w:val="18"/>
              </w:rPr>
              <w:t>2:</w:t>
            </w:r>
            <w:r>
              <w:rPr>
                <w:spacing w:val="80"/>
                <w:sz w:val="18"/>
              </w:rPr>
              <w:t xml:space="preserve"> </w:t>
            </w:r>
            <w:r>
              <w:rPr>
                <w:sz w:val="18"/>
              </w:rPr>
              <w:t>The</w:t>
            </w:r>
            <w:r>
              <w:rPr>
                <w:spacing w:val="-2"/>
                <w:sz w:val="18"/>
              </w:rPr>
              <w:t xml:space="preserve"> </w:t>
            </w:r>
            <w:r>
              <w:rPr>
                <w:sz w:val="18"/>
              </w:rPr>
              <w:t>average</w:t>
            </w:r>
            <w:r>
              <w:rPr>
                <w:spacing w:val="-4"/>
                <w:sz w:val="18"/>
              </w:rPr>
              <w:t xml:space="preserve"> </w:t>
            </w:r>
            <w:r>
              <w:rPr>
                <w:sz w:val="18"/>
              </w:rPr>
              <w:t>measurement</w:t>
            </w:r>
            <w:r>
              <w:rPr>
                <w:spacing w:val="-4"/>
                <w:sz w:val="18"/>
              </w:rPr>
              <w:t xml:space="preserve"> </w:t>
            </w:r>
            <w:r>
              <w:rPr>
                <w:sz w:val="18"/>
              </w:rPr>
              <w:t>method</w:t>
            </w:r>
            <w:r>
              <w:rPr>
                <w:spacing w:val="-4"/>
                <w:sz w:val="18"/>
              </w:rPr>
              <w:t xml:space="preserve"> </w:t>
            </w:r>
            <w:r>
              <w:rPr>
                <w:sz w:val="18"/>
              </w:rPr>
              <w:t>defined</w:t>
            </w:r>
            <w:r>
              <w:rPr>
                <w:spacing w:val="-4"/>
                <w:sz w:val="18"/>
              </w:rPr>
              <w:t xml:space="preserve"> </w:t>
            </w:r>
            <w:r>
              <w:rPr>
                <w:sz w:val="18"/>
              </w:rPr>
              <w:t>in</w:t>
            </w:r>
            <w:r>
              <w:rPr>
                <w:spacing w:val="-4"/>
                <w:sz w:val="18"/>
              </w:rPr>
              <w:t xml:space="preserve"> </w:t>
            </w:r>
            <w:r>
              <w:rPr>
                <w:sz w:val="18"/>
              </w:rPr>
              <w:t>clause</w:t>
            </w:r>
            <w:r>
              <w:rPr>
                <w:spacing w:val="-2"/>
                <w:sz w:val="18"/>
              </w:rPr>
              <w:t xml:space="preserve"> </w:t>
            </w:r>
            <w:r>
              <w:rPr>
                <w:sz w:val="18"/>
              </w:rPr>
              <w:t>5.2.2.3</w:t>
            </w:r>
            <w:r>
              <w:rPr>
                <w:spacing w:val="-4"/>
                <w:sz w:val="18"/>
              </w:rPr>
              <w:t xml:space="preserve"> </w:t>
            </w:r>
            <w:r>
              <w:rPr>
                <w:sz w:val="18"/>
              </w:rPr>
              <w:t>shall</w:t>
            </w:r>
            <w:r>
              <w:rPr>
                <w:spacing w:val="-2"/>
                <w:sz w:val="18"/>
              </w:rPr>
              <w:t xml:space="preserve"> </w:t>
            </w:r>
            <w:r>
              <w:rPr>
                <w:sz w:val="18"/>
              </w:rPr>
              <w:t>apply</w:t>
            </w:r>
            <w:r>
              <w:rPr>
                <w:spacing w:val="-3"/>
                <w:sz w:val="18"/>
              </w:rPr>
              <w:t xml:space="preserve"> </w:t>
            </w:r>
            <w:r>
              <w:rPr>
                <w:sz w:val="18"/>
              </w:rPr>
              <w:t>except</w:t>
            </w:r>
            <w:r>
              <w:rPr>
                <w:spacing w:val="-1"/>
                <w:sz w:val="18"/>
              </w:rPr>
              <w:t xml:space="preserve"> </w:t>
            </w:r>
            <w:r>
              <w:rPr>
                <w:sz w:val="18"/>
              </w:rPr>
              <w:t>that</w:t>
            </w:r>
            <w:r>
              <w:rPr>
                <w:spacing w:val="-1"/>
                <w:sz w:val="18"/>
              </w:rPr>
              <w:t xml:space="preserve"> </w:t>
            </w:r>
            <w:r>
              <w:rPr>
                <w:sz w:val="18"/>
              </w:rPr>
              <w:t xml:space="preserve">a measurement time of 20 </w:t>
            </w:r>
            <w:proofErr w:type="spellStart"/>
            <w:r>
              <w:rPr>
                <w:sz w:val="18"/>
              </w:rPr>
              <w:t>ms</w:t>
            </w:r>
            <w:proofErr w:type="spellEnd"/>
            <w:r>
              <w:rPr>
                <w:sz w:val="18"/>
              </w:rPr>
              <w:t xml:space="preserve"> shall be used in the sub-band 1 573,42 MHz to</w:t>
            </w:r>
          </w:p>
          <w:p w14:paraId="0F65317F" w14:textId="77777777" w:rsidR="00AC77A0" w:rsidRDefault="00AC77A0">
            <w:pPr>
              <w:pStyle w:val="TableParagraph"/>
              <w:spacing w:line="206" w:lineRule="exact"/>
              <w:ind w:left="880"/>
              <w:jc w:val="left"/>
              <w:rPr>
                <w:sz w:val="18"/>
              </w:rPr>
            </w:pPr>
            <w:r>
              <w:rPr>
                <w:sz w:val="18"/>
              </w:rPr>
              <w:t>1</w:t>
            </w:r>
            <w:r>
              <w:rPr>
                <w:spacing w:val="-2"/>
                <w:sz w:val="18"/>
              </w:rPr>
              <w:t xml:space="preserve"> </w:t>
            </w:r>
            <w:r>
              <w:rPr>
                <w:sz w:val="18"/>
              </w:rPr>
              <w:t xml:space="preserve">580,42 </w:t>
            </w:r>
            <w:proofErr w:type="spellStart"/>
            <w:r>
              <w:rPr>
                <w:spacing w:val="-4"/>
                <w:sz w:val="18"/>
              </w:rPr>
              <w:t>MHz.</w:t>
            </w:r>
            <w:proofErr w:type="spellEnd"/>
          </w:p>
          <w:p w14:paraId="38288996" w14:textId="77777777" w:rsidR="00AC77A0" w:rsidRDefault="00AC77A0">
            <w:pPr>
              <w:pStyle w:val="TableParagraph"/>
              <w:spacing w:line="206" w:lineRule="exact"/>
              <w:ind w:left="880" w:right="582" w:hanging="853"/>
              <w:jc w:val="left"/>
              <w:rPr>
                <w:sz w:val="18"/>
              </w:rPr>
            </w:pPr>
            <w:r>
              <w:rPr>
                <w:sz w:val="18"/>
              </w:rPr>
              <w:t>NOTE</w:t>
            </w:r>
            <w:r>
              <w:rPr>
                <w:spacing w:val="-2"/>
                <w:sz w:val="18"/>
              </w:rPr>
              <w:t xml:space="preserve"> </w:t>
            </w:r>
            <w:r>
              <w:rPr>
                <w:sz w:val="18"/>
              </w:rPr>
              <w:t>3:</w:t>
            </w:r>
            <w:r>
              <w:rPr>
                <w:spacing w:val="80"/>
                <w:sz w:val="18"/>
              </w:rPr>
              <w:t xml:space="preserve"> </w:t>
            </w:r>
            <w:r>
              <w:rPr>
                <w:sz w:val="18"/>
              </w:rPr>
              <w:t>If</w:t>
            </w:r>
            <w:r>
              <w:rPr>
                <w:spacing w:val="-1"/>
                <w:sz w:val="18"/>
              </w:rPr>
              <w:t xml:space="preserve"> </w:t>
            </w:r>
            <w:r>
              <w:rPr>
                <w:sz w:val="18"/>
              </w:rPr>
              <w:t>MES</w:t>
            </w:r>
            <w:r>
              <w:rPr>
                <w:spacing w:val="-2"/>
                <w:sz w:val="18"/>
              </w:rPr>
              <w:t xml:space="preserve"> </w:t>
            </w:r>
            <w:r>
              <w:rPr>
                <w:sz w:val="18"/>
              </w:rPr>
              <w:t>antenna</w:t>
            </w:r>
            <w:r>
              <w:rPr>
                <w:spacing w:val="-2"/>
                <w:sz w:val="18"/>
              </w:rPr>
              <w:t xml:space="preserve"> </w:t>
            </w:r>
            <w:r>
              <w:rPr>
                <w:sz w:val="18"/>
              </w:rPr>
              <w:t>gain</w:t>
            </w:r>
            <w:r>
              <w:rPr>
                <w:spacing w:val="-3"/>
                <w:sz w:val="18"/>
              </w:rPr>
              <w:t xml:space="preserve"> </w:t>
            </w:r>
            <w:r>
              <w:rPr>
                <w:sz w:val="18"/>
              </w:rPr>
              <w:t>is</w:t>
            </w:r>
            <w:r>
              <w:rPr>
                <w:spacing w:val="-3"/>
                <w:sz w:val="18"/>
              </w:rPr>
              <w:t xml:space="preserve"> </w:t>
            </w:r>
            <w:r>
              <w:rPr>
                <w:sz w:val="18"/>
              </w:rPr>
              <w:t>higher</w:t>
            </w:r>
            <w:r>
              <w:rPr>
                <w:spacing w:val="-3"/>
                <w:sz w:val="18"/>
              </w:rPr>
              <w:t xml:space="preserve"> </w:t>
            </w:r>
            <w:r>
              <w:rPr>
                <w:sz w:val="18"/>
              </w:rPr>
              <w:t>than</w:t>
            </w:r>
            <w:r>
              <w:rPr>
                <w:spacing w:val="-2"/>
                <w:sz w:val="18"/>
              </w:rPr>
              <w:t xml:space="preserve"> </w:t>
            </w:r>
            <w:r>
              <w:rPr>
                <w:sz w:val="18"/>
              </w:rPr>
              <w:t>8</w:t>
            </w:r>
            <w:r>
              <w:rPr>
                <w:spacing w:val="-3"/>
                <w:sz w:val="18"/>
              </w:rPr>
              <w:t xml:space="preserve"> </w:t>
            </w:r>
            <w:r>
              <w:rPr>
                <w:sz w:val="18"/>
              </w:rPr>
              <w:t>dBi,</w:t>
            </w:r>
            <w:r>
              <w:rPr>
                <w:spacing w:val="-3"/>
                <w:sz w:val="18"/>
              </w:rPr>
              <w:t xml:space="preserve"> </w:t>
            </w:r>
            <w:r>
              <w:rPr>
                <w:sz w:val="18"/>
              </w:rPr>
              <w:t>the</w:t>
            </w:r>
            <w:r>
              <w:rPr>
                <w:spacing w:val="-3"/>
                <w:sz w:val="18"/>
              </w:rPr>
              <w:t xml:space="preserve"> </w:t>
            </w:r>
            <w:r>
              <w:rPr>
                <w:sz w:val="18"/>
              </w:rPr>
              <w:t>unwanted</w:t>
            </w:r>
            <w:r>
              <w:rPr>
                <w:spacing w:val="-3"/>
                <w:sz w:val="18"/>
              </w:rPr>
              <w:t xml:space="preserve"> </w:t>
            </w:r>
            <w:r>
              <w:rPr>
                <w:sz w:val="18"/>
              </w:rPr>
              <w:t>emission</w:t>
            </w:r>
            <w:r>
              <w:rPr>
                <w:spacing w:val="-3"/>
                <w:sz w:val="18"/>
              </w:rPr>
              <w:t xml:space="preserve"> </w:t>
            </w:r>
            <w:r>
              <w:rPr>
                <w:sz w:val="18"/>
              </w:rPr>
              <w:t>limit</w:t>
            </w:r>
            <w:r>
              <w:rPr>
                <w:spacing w:val="-3"/>
                <w:sz w:val="18"/>
              </w:rPr>
              <w:t xml:space="preserve"> </w:t>
            </w:r>
            <w:r>
              <w:rPr>
                <w:sz w:val="18"/>
              </w:rPr>
              <w:t>in</w:t>
            </w:r>
            <w:r>
              <w:rPr>
                <w:spacing w:val="-2"/>
                <w:sz w:val="18"/>
              </w:rPr>
              <w:t xml:space="preserve"> </w:t>
            </w:r>
            <w:r>
              <w:rPr>
                <w:sz w:val="18"/>
              </w:rPr>
              <w:t>the</w:t>
            </w:r>
            <w:r>
              <w:rPr>
                <w:spacing w:val="-2"/>
                <w:sz w:val="18"/>
              </w:rPr>
              <w:t xml:space="preserve"> </w:t>
            </w:r>
            <w:r>
              <w:rPr>
                <w:sz w:val="18"/>
              </w:rPr>
              <w:t xml:space="preserve">band 1 525 MHz to 1 559 MHz shall be considered to be -90 </w:t>
            </w:r>
            <w:proofErr w:type="spellStart"/>
            <w:r>
              <w:rPr>
                <w:sz w:val="18"/>
              </w:rPr>
              <w:t>dBW</w:t>
            </w:r>
            <w:proofErr w:type="spellEnd"/>
            <w:r>
              <w:rPr>
                <w:sz w:val="18"/>
              </w:rPr>
              <w:t xml:space="preserve"> in 100 kHz.</w:t>
            </w:r>
          </w:p>
        </w:tc>
      </w:tr>
    </w:tbl>
    <w:p w14:paraId="1B9B3E13" w14:textId="77777777" w:rsidR="00A96081" w:rsidRDefault="00A96081" w:rsidP="00EB6659"/>
    <w:p w14:paraId="1BAD792A" w14:textId="78AAAB68" w:rsidR="00AC77A0" w:rsidRDefault="00803503" w:rsidP="00EB6659">
      <w:r>
        <w:t>The</w:t>
      </w:r>
      <w:r w:rsidR="00FE78D6">
        <w:t xml:space="preserve"> emissions limit for 1610-12750MHz captures the carrier-off requirements</w:t>
      </w:r>
      <w:r>
        <w:t xml:space="preserve"> for protection of radioastronomy bands within 1660-1660.5MHz and 1668-1670MHz</w:t>
      </w:r>
      <w:r w:rsidR="00231C14">
        <w:t>, mandating a limit of -87dBW/100kHz.</w:t>
      </w:r>
    </w:p>
    <w:p w14:paraId="079D3DC6" w14:textId="3144D29E" w:rsidR="002C6E6B" w:rsidRPr="00945CAE" w:rsidRDefault="00F608D4" w:rsidP="00EB6659">
      <w:pPr>
        <w:rPr>
          <w:b/>
          <w:bCs/>
          <w:i/>
          <w:iCs/>
        </w:rPr>
      </w:pPr>
      <w:r>
        <w:rPr>
          <w:b/>
          <w:bCs/>
          <w:i/>
          <w:iCs/>
        </w:rPr>
        <w:t xml:space="preserve">Observation </w:t>
      </w:r>
      <w:r w:rsidR="003C31BE">
        <w:rPr>
          <w:b/>
          <w:bCs/>
          <w:i/>
          <w:iCs/>
        </w:rPr>
        <w:t>1</w:t>
      </w:r>
      <w:r w:rsidR="002C6E6B" w:rsidRPr="00945CAE">
        <w:rPr>
          <w:b/>
          <w:bCs/>
          <w:i/>
          <w:iCs/>
        </w:rPr>
        <w:t>: The addition of a UE ‘Tx disable’ functionality to be issued when a UE is close to a radioastronomy station which is registered in the ITU master international frequency register is sufficient to protect said radioastronomy services, so long as the carrier-off state for the UE meets the requirement of -87dBW/100kHz as specified in ETSI EN 301 681.</w:t>
      </w:r>
    </w:p>
    <w:p w14:paraId="3BC16C68" w14:textId="08CCD2E9" w:rsidR="002B1B76" w:rsidRDefault="002B1B76" w:rsidP="002B1B76">
      <w:pPr>
        <w:pStyle w:val="Heading3"/>
      </w:pPr>
      <w:r>
        <w:t>2.1.2 FCC and NTIA</w:t>
      </w:r>
    </w:p>
    <w:p w14:paraId="1BD80F35" w14:textId="1B7398CB" w:rsidR="002B1B76" w:rsidRDefault="000C6A08" w:rsidP="002B1B76">
      <w:r>
        <w:t>Both the Federal Communications Commission (FCC) and the National Te</w:t>
      </w:r>
      <w:r w:rsidR="005F4DB0">
        <w:t>lecommunications and Information Administration (NTIA) recognize the importance of protecting Radio Astronomy services.</w:t>
      </w:r>
    </w:p>
    <w:p w14:paraId="2ABC5B78" w14:textId="018A603A" w:rsidR="005C68D8" w:rsidRDefault="005C68D8" w:rsidP="002B1B76">
      <w:r>
        <w:t>These focus on the following frequency range which is dedicated to Radio Astronomy and Radiosonde:</w:t>
      </w:r>
    </w:p>
    <w:p w14:paraId="1BE7D983" w14:textId="44F2F36B" w:rsidR="005C68D8" w:rsidRDefault="005C68D8" w:rsidP="005C68D8">
      <w:pPr>
        <w:pStyle w:val="ListParagraph"/>
        <w:numPr>
          <w:ilvl w:val="0"/>
          <w:numId w:val="6"/>
        </w:numPr>
      </w:pPr>
      <w:r>
        <w:t>166</w:t>
      </w:r>
      <w:r w:rsidR="00C24122">
        <w:t>0.5-1668 MHz</w:t>
      </w:r>
    </w:p>
    <w:p w14:paraId="0D092965" w14:textId="28CA7FF8" w:rsidR="00C24122" w:rsidRDefault="00C24122" w:rsidP="00C24122">
      <w:r>
        <w:t>As well as on the following frequency ranges, which are shared between Radio Astronomy and the Mobile Satellite Services:</w:t>
      </w:r>
    </w:p>
    <w:p w14:paraId="2DDC8F89" w14:textId="15A8F1D4" w:rsidR="00C24122" w:rsidRDefault="00C24122" w:rsidP="00C24122">
      <w:pPr>
        <w:pStyle w:val="ListParagraph"/>
        <w:numPr>
          <w:ilvl w:val="0"/>
          <w:numId w:val="6"/>
        </w:numPr>
      </w:pPr>
      <w:r>
        <w:t>1660-1660.5 MHz</w:t>
      </w:r>
    </w:p>
    <w:p w14:paraId="1F8C9A3B" w14:textId="6B65003D" w:rsidR="00C24122" w:rsidRDefault="00C24122" w:rsidP="00C24122">
      <w:pPr>
        <w:pStyle w:val="ListParagraph"/>
        <w:numPr>
          <w:ilvl w:val="0"/>
          <w:numId w:val="6"/>
        </w:numPr>
      </w:pPr>
      <w:r>
        <w:t>1668-1668.4 MHz</w:t>
      </w:r>
    </w:p>
    <w:p w14:paraId="3FD0B133" w14:textId="4DCA8588" w:rsidR="00937DD0" w:rsidRDefault="00C24122" w:rsidP="002B1B76">
      <w:pPr>
        <w:pStyle w:val="ListParagraph"/>
        <w:numPr>
          <w:ilvl w:val="0"/>
          <w:numId w:val="6"/>
        </w:numPr>
      </w:pPr>
      <w:r>
        <w:t>1668.4-1670 MHz</w:t>
      </w:r>
    </w:p>
    <w:p w14:paraId="38E07E56" w14:textId="3B25D09B" w:rsidR="00937DD0" w:rsidRDefault="00937DD0" w:rsidP="002B1B76">
      <w:r>
        <w:t>The FCC captures the following:</w:t>
      </w:r>
    </w:p>
    <w:p w14:paraId="5F0124FB" w14:textId="6D369BE8" w:rsidR="00937DD0" w:rsidRDefault="00937DD0" w:rsidP="00C24122">
      <w:pPr>
        <w:pStyle w:val="ListParagraph"/>
        <w:numPr>
          <w:ilvl w:val="0"/>
          <w:numId w:val="6"/>
        </w:numPr>
      </w:pPr>
      <w:r w:rsidRPr="00937DD0">
        <w:t>47 CFR 2.106(b)(376)(</w:t>
      </w:r>
      <w:proofErr w:type="spellStart"/>
      <w:r w:rsidRPr="00937DD0">
        <w:t>i</w:t>
      </w:r>
      <w:proofErr w:type="spellEnd"/>
      <w:r w:rsidRPr="00937DD0">
        <w:t>)</w:t>
      </w:r>
      <w:r w:rsidR="00C24122">
        <w:t xml:space="preserve">:  </w:t>
      </w:r>
    </w:p>
    <w:p w14:paraId="497B6452" w14:textId="47DF2CC7" w:rsidR="00C24122" w:rsidRDefault="00C24122" w:rsidP="00C24122">
      <w:pPr>
        <w:pStyle w:val="ListParagraph"/>
        <w:numPr>
          <w:ilvl w:val="1"/>
          <w:numId w:val="6"/>
        </w:numPr>
      </w:pPr>
      <w:r w:rsidRPr="00C24122">
        <w:t>5.376A Mobile earth stations operating in the band 1660-1660.5 MHz shall not cause harmful interference to stations in the radio astronomy service.</w:t>
      </w:r>
    </w:p>
    <w:p w14:paraId="55D62181" w14:textId="1C907342" w:rsidR="003B06AA" w:rsidRDefault="003E30E8" w:rsidP="003E30E8">
      <w:pPr>
        <w:pStyle w:val="ListParagraph"/>
        <w:numPr>
          <w:ilvl w:val="0"/>
          <w:numId w:val="6"/>
        </w:numPr>
      </w:pPr>
      <w:r w:rsidRPr="003E30E8">
        <w:t>47 CFR 2.106(b)(379)(</w:t>
      </w:r>
      <w:proofErr w:type="spellStart"/>
      <w:r w:rsidRPr="003E30E8">
        <w:t>i</w:t>
      </w:r>
      <w:proofErr w:type="spellEnd"/>
      <w:r w:rsidRPr="003E30E8">
        <w:t>)</w:t>
      </w:r>
    </w:p>
    <w:p w14:paraId="1440A728" w14:textId="1FA72E61" w:rsidR="003E30E8" w:rsidRDefault="000725AF" w:rsidP="003E30E8">
      <w:pPr>
        <w:pStyle w:val="ListParagraph"/>
        <w:numPr>
          <w:ilvl w:val="1"/>
          <w:numId w:val="6"/>
        </w:numPr>
      </w:pPr>
      <w:r w:rsidRPr="000725AF">
        <w:t>5.379A Administrations are urged to give all practicable protection in the band 1660.5-1668.4 MHz for future research in radio astronomy, particularly by eliminating air-to-ground transmissions in the meteorological aids service in the band 1664.4-1668.4 MHz as soon as practicable.</w:t>
      </w:r>
    </w:p>
    <w:p w14:paraId="333D9775" w14:textId="7F1C8AFA" w:rsidR="004D4DBE" w:rsidRDefault="00DE4BA5" w:rsidP="004D4DBE">
      <w:pPr>
        <w:pStyle w:val="ListParagraph"/>
        <w:numPr>
          <w:ilvl w:val="0"/>
          <w:numId w:val="6"/>
        </w:numPr>
      </w:pPr>
      <w:r w:rsidRPr="00DE4BA5">
        <w:t>47 CFR 2.106(b)(379)(ii)</w:t>
      </w:r>
    </w:p>
    <w:p w14:paraId="4AC390D9" w14:textId="48979D8C" w:rsidR="00DE4BA5" w:rsidRDefault="00DE4BA5" w:rsidP="00DE4BA5">
      <w:pPr>
        <w:pStyle w:val="ListParagraph"/>
        <w:numPr>
          <w:ilvl w:val="1"/>
          <w:numId w:val="6"/>
        </w:numPr>
      </w:pPr>
      <w:r w:rsidRPr="00DE4BA5">
        <w:t>In the band 1668-1668.4 MHz, Resolution 904 (WRC-07) shall apply.</w:t>
      </w:r>
    </w:p>
    <w:p w14:paraId="0773EC18" w14:textId="3B7F1C36" w:rsidR="00DE4BA5" w:rsidRDefault="00445F92" w:rsidP="00DE4BA5">
      <w:pPr>
        <w:pStyle w:val="ListParagraph"/>
        <w:numPr>
          <w:ilvl w:val="0"/>
          <w:numId w:val="6"/>
        </w:numPr>
      </w:pPr>
      <w:r w:rsidRPr="00445F92">
        <w:t>47 CFR 2.106(b)(379)(iii)</w:t>
      </w:r>
      <w:r>
        <w:t xml:space="preserve"> </w:t>
      </w:r>
    </w:p>
    <w:p w14:paraId="7C3E8E1C" w14:textId="3F8D5F98" w:rsidR="00445F92" w:rsidRDefault="00386876" w:rsidP="00445F92">
      <w:pPr>
        <w:pStyle w:val="ListParagraph"/>
        <w:numPr>
          <w:ilvl w:val="1"/>
          <w:numId w:val="6"/>
        </w:numPr>
      </w:pPr>
      <w:r w:rsidRPr="00386876">
        <w:t>5.379C In order to protect the radio astronomy service in the band 1668-1670 MHz, the aggregate power flux-density values produced by mobile earth stations in a network of the mobile-satellite service operating in this band shall not exceed −181 dB(W/m</w:t>
      </w:r>
      <w:r w:rsidRPr="00386876">
        <w:rPr>
          <w:vertAlign w:val="superscript"/>
        </w:rPr>
        <w:t>2</w:t>
      </w:r>
      <w:r w:rsidRPr="00386876">
        <w:t>) in 10 MHz and −194 dB(W/m</w:t>
      </w:r>
      <w:r w:rsidRPr="00386876">
        <w:rPr>
          <w:vertAlign w:val="superscript"/>
        </w:rPr>
        <w:t>2</w:t>
      </w:r>
      <w:r w:rsidRPr="00386876">
        <w:t>) in any 20 kHz at any radio astronomy station recorded in the Master International Frequency Register, for more than 2% of integration periods of 2000 s.</w:t>
      </w:r>
    </w:p>
    <w:p w14:paraId="4C4537CF" w14:textId="44BB14BC" w:rsidR="00386876" w:rsidRDefault="001C31C3" w:rsidP="00386876">
      <w:pPr>
        <w:pStyle w:val="ListParagraph"/>
        <w:numPr>
          <w:ilvl w:val="0"/>
          <w:numId w:val="6"/>
        </w:numPr>
      </w:pPr>
      <w:r w:rsidRPr="001C31C3">
        <w:t>47 CFR 2.106(c)(246)</w:t>
      </w:r>
    </w:p>
    <w:p w14:paraId="01FCFC1B" w14:textId="13C37939" w:rsidR="00C24122" w:rsidRDefault="004C79C6" w:rsidP="002B1B76">
      <w:pPr>
        <w:pStyle w:val="ListParagraph"/>
        <w:numPr>
          <w:ilvl w:val="1"/>
          <w:numId w:val="6"/>
        </w:numPr>
      </w:pPr>
      <w:r w:rsidRPr="004C79C6">
        <w:t>US246 No station shall be authorized to transmit in the following bands: 73-74.6 MHz, 608-614 MHz, except for medical telemetry equipment and white space devices, 1400-1427 MHz, 1660.5-1668.4 MHz, 2690-2700 MHz, 4990-5000 MHz, 10.68-10.7 GHz, 15.35-15.4 GHz, 23.6-24 GHz, 31.3-31.8 GHz, 50.2-50.4 GHz, 52.6-54.25 GHz, 86-92 GHz, 100-102 GHz, 109.5-111.8 GHz, 114.25-116 GHz, 148.5-151.5 GHz, 164-167 GHz, 182-185 GHz, 190-191.8 GHz, 200-209 GHz, 226-231.5 GHz, 250-252 GHz.</w:t>
      </w:r>
    </w:p>
    <w:p w14:paraId="4007B3AA" w14:textId="71264437" w:rsidR="00B657AB" w:rsidRDefault="00B657AB" w:rsidP="00B657AB">
      <w:r>
        <w:t>As seen above, fo</w:t>
      </w:r>
      <w:r w:rsidR="000E3D8A">
        <w:t>r the protection of the radi</w:t>
      </w:r>
      <w:r w:rsidR="00626FD8">
        <w:t>o</w:t>
      </w:r>
      <w:r w:rsidR="000E3D8A">
        <w:t>astronomy band operating at 1660-1660.5MHz, only the guarantee that no harmful interference is imposed upon the radi</w:t>
      </w:r>
      <w:r w:rsidR="00626FD8">
        <w:t>o</w:t>
      </w:r>
      <w:r w:rsidR="000E3D8A">
        <w:t>astronomy service is mandated</w:t>
      </w:r>
      <w:r w:rsidR="004A0A76">
        <w:t>.</w:t>
      </w:r>
    </w:p>
    <w:p w14:paraId="2DDBDDD3" w14:textId="28AF7CE1" w:rsidR="004A0A76" w:rsidRDefault="004A0A76" w:rsidP="00B657AB">
      <w:r>
        <w:t xml:space="preserve">For the </w:t>
      </w:r>
      <w:r w:rsidR="00350112">
        <w:t>protection of the radioastronomy band in 1668-1670MHz a power flux density limit is imposed</w:t>
      </w:r>
      <w:r w:rsidR="00BB711F">
        <w:t>, which is measured at the radioastronomy station</w:t>
      </w:r>
      <w:r w:rsidR="00FE5C05">
        <w:t xml:space="preserve">. The MSS UE must not exceed a PFD level of -181dBW/m^2 in 10MHz and </w:t>
      </w:r>
      <w:r w:rsidR="009128AE">
        <w:t>-194dBW/m^2 in any 20kHz. This cannot be exceeded for more than 2% of integration periods of 2000s.</w:t>
      </w:r>
    </w:p>
    <w:p w14:paraId="652233E4" w14:textId="466A3262" w:rsidR="009128AE" w:rsidRDefault="009128AE" w:rsidP="00B657AB">
      <w:pPr>
        <w:rPr>
          <w:b/>
          <w:bCs/>
          <w:i/>
          <w:iCs/>
        </w:rPr>
      </w:pPr>
      <w:r>
        <w:rPr>
          <w:b/>
          <w:bCs/>
          <w:i/>
          <w:iCs/>
        </w:rPr>
        <w:t xml:space="preserve">Observation </w:t>
      </w:r>
      <w:r w:rsidR="003C31BE">
        <w:rPr>
          <w:b/>
          <w:bCs/>
          <w:i/>
          <w:iCs/>
        </w:rPr>
        <w:t>2</w:t>
      </w:r>
      <w:r>
        <w:rPr>
          <w:b/>
          <w:bCs/>
          <w:i/>
          <w:iCs/>
        </w:rPr>
        <w:t>: Protection of the radioastronomy bands is mandated by the FCC</w:t>
      </w:r>
      <w:r w:rsidR="0090621E">
        <w:rPr>
          <w:b/>
          <w:bCs/>
          <w:i/>
          <w:iCs/>
        </w:rPr>
        <w:t xml:space="preserve">. For the 1660-1660.5MHz RA band, interference must not be imposed upon the RA station by the UE. For the </w:t>
      </w:r>
      <w:r w:rsidR="000565F3">
        <w:rPr>
          <w:b/>
          <w:bCs/>
          <w:i/>
          <w:iCs/>
        </w:rPr>
        <w:t>1668-1670MHz band, PFD limits are imposed.</w:t>
      </w:r>
    </w:p>
    <w:p w14:paraId="1AE93B7B" w14:textId="053ED0CB" w:rsidR="00E37EDD" w:rsidRDefault="00130EEE" w:rsidP="00B657AB">
      <w:pPr>
        <w:rPr>
          <w:i/>
          <w:iCs/>
        </w:rPr>
      </w:pPr>
      <w:r>
        <w:rPr>
          <w:i/>
          <w:iCs/>
        </w:rPr>
        <w:t>NTIA provides useful information about the areas where Radioastronomy stations operate</w:t>
      </w:r>
      <w:r w:rsidR="00F75719">
        <w:rPr>
          <w:i/>
          <w:iCs/>
        </w:rPr>
        <w:t xml:space="preserve"> in the </w:t>
      </w:r>
      <w:r w:rsidR="00E91DEC">
        <w:rPr>
          <w:i/>
          <w:iCs/>
        </w:rPr>
        <w:t>Unites States</w:t>
      </w:r>
      <w:r w:rsidR="00E817FB">
        <w:rPr>
          <w:i/>
          <w:iCs/>
        </w:rPr>
        <w:t>:</w:t>
      </w:r>
    </w:p>
    <w:p w14:paraId="56B6B927" w14:textId="58EB9195" w:rsidR="00E91DEC" w:rsidRPr="00130EEE" w:rsidRDefault="00D2562F" w:rsidP="00B657AB">
      <w:pPr>
        <w:rPr>
          <w:i/>
          <w:iCs/>
        </w:rPr>
      </w:pPr>
      <w:r>
        <w:rPr>
          <w:noProof/>
        </w:rPr>
        <mc:AlternateContent>
          <mc:Choice Requires="wpi">
            <w:drawing>
              <wp:anchor distT="0" distB="0" distL="114300" distR="114300" simplePos="0" relativeHeight="251658241" behindDoc="0" locked="0" layoutInCell="1" allowOverlap="1" wp14:anchorId="603CDE90" wp14:editId="07453CE2">
                <wp:simplePos x="0" y="0"/>
                <wp:positionH relativeFrom="column">
                  <wp:posOffset>8900503</wp:posOffset>
                </wp:positionH>
                <wp:positionV relativeFrom="paragraph">
                  <wp:posOffset>3435834</wp:posOffset>
                </wp:positionV>
                <wp:extent cx="8280" cy="360"/>
                <wp:effectExtent l="38100" t="38100" r="48895" b="38100"/>
                <wp:wrapNone/>
                <wp:docPr id="1940750982" name="Ink 3"/>
                <wp:cNvGraphicFramePr/>
                <a:graphic xmlns:a="http://schemas.openxmlformats.org/drawingml/2006/main">
                  <a:graphicData uri="http://schemas.microsoft.com/office/word/2010/wordprocessingInk">
                    <w14:contentPart bwMode="auto" r:id="rId11">
                      <w14:nvContentPartPr>
                        <w14:cNvContentPartPr/>
                      </w14:nvContentPartPr>
                      <w14:xfrm>
                        <a:off x="0" y="0"/>
                        <a:ext cx="8280" cy="360"/>
                      </w14:xfrm>
                    </w14:contentPart>
                  </a:graphicData>
                </a:graphic>
              </wp:anchor>
            </w:drawing>
          </mc:Choice>
          <mc:Fallback xmlns:arto="http://schemas.microsoft.com/office/word/2006/arto">
            <w:pict>
              <v:shapetype w14:anchorId="44357F3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 o:spid="_x0000_s1026" type="#_x0000_t75" style="position:absolute;margin-left:700.35pt;margin-top:270.05pt;width:1.6pt;height:1.0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">
                <v:imagedata r:id="rId12" o:title=""/>
              </v:shape>
            </w:pict>
          </mc:Fallback>
        </mc:AlternateContent>
      </w:r>
      <w:r>
        <w:rPr>
          <w:noProof/>
        </w:rPr>
        <mc:AlternateContent>
          <mc:Choice Requires="wpi">
            <w:drawing>
              <wp:anchor distT="0" distB="0" distL="114300" distR="114300" simplePos="0" relativeHeight="251658240" behindDoc="0" locked="0" layoutInCell="1" allowOverlap="1" wp14:anchorId="5EC0F6C3" wp14:editId="328B424F">
                <wp:simplePos x="0" y="0"/>
                <wp:positionH relativeFrom="column">
                  <wp:posOffset>-1141697</wp:posOffset>
                </wp:positionH>
                <wp:positionV relativeFrom="paragraph">
                  <wp:posOffset>398514</wp:posOffset>
                </wp:positionV>
                <wp:extent cx="360" cy="360"/>
                <wp:effectExtent l="38100" t="38100" r="38100" b="38100"/>
                <wp:wrapNone/>
                <wp:docPr id="2063643642" name="Ink 2"/>
                <wp:cNvGraphicFramePr/>
                <a:graphic xmlns:a="http://schemas.openxmlformats.org/drawingml/2006/main">
                  <a:graphicData uri="http://schemas.microsoft.com/office/word/2010/wordprocessingInk">
                    <w14:contentPart bwMode="auto" r:id="rId13">
                      <w14:nvContentPartPr>
                        <w14:cNvContentPartPr/>
                      </w14:nvContentPartPr>
                      <w14:xfrm>
                        <a:off x="0" y="0"/>
                        <a:ext cx="360" cy="360"/>
                      </w14:xfrm>
                    </w14:contentPart>
                  </a:graphicData>
                </a:graphic>
              </wp:anchor>
            </w:drawing>
          </mc:Choice>
          <mc:Fallback xmlns:arto="http://schemas.microsoft.com/office/word/2006/arto">
            <w:pict>
              <v:shape w14:anchorId="0D80F6FC" id="Ink 2" o:spid="_x0000_s1026" type="#_x0000_t75" style="position:absolute;margin-left:-90.4pt;margin-top:30.9pt;width:1.05pt;height:1.0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">
                <v:imagedata r:id="rId14" o:title=""/>
              </v:shape>
            </w:pict>
          </mc:Fallback>
        </mc:AlternateContent>
      </w:r>
      <w:r w:rsidR="00E91DEC">
        <w:rPr>
          <w:noProof/>
        </w:rPr>
        <w:drawing>
          <wp:inline distT="0" distB="0" distL="0" distR="0" wp14:anchorId="0DA5D7DC" wp14:editId="68E56195">
            <wp:extent cx="6120765" cy="4144645"/>
            <wp:effectExtent l="0" t="0" r="0" b="8255"/>
            <wp:docPr id="1495130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130072" name=""/>
                    <pic:cNvPicPr/>
                  </pic:nvPicPr>
                  <pic:blipFill>
                    <a:blip r:embed="rId15"/>
                    <a:stretch>
                      <a:fillRect/>
                    </a:stretch>
                  </pic:blipFill>
                  <pic:spPr>
                    <a:xfrm>
                      <a:off x="0" y="0"/>
                      <a:ext cx="6120765" cy="4144645"/>
                    </a:xfrm>
                    <a:prstGeom prst="rect">
                      <a:avLst/>
                    </a:prstGeom>
                  </pic:spPr>
                </pic:pic>
              </a:graphicData>
            </a:graphic>
          </wp:inline>
        </w:drawing>
      </w:r>
    </w:p>
    <w:p w14:paraId="36FC6876" w14:textId="472E4285" w:rsidR="00E37EDD" w:rsidRPr="00E817FB" w:rsidRDefault="00E817FB" w:rsidP="00B657AB">
      <w:pPr>
        <w:rPr>
          <w:b/>
          <w:bCs/>
          <w:i/>
          <w:iCs/>
        </w:rPr>
      </w:pPr>
      <w:r>
        <w:rPr>
          <w:b/>
          <w:bCs/>
          <w:i/>
          <w:iCs/>
        </w:rPr>
        <w:t xml:space="preserve">Observation 3: </w:t>
      </w:r>
      <w:r w:rsidR="00F608D4">
        <w:rPr>
          <w:b/>
          <w:bCs/>
          <w:i/>
          <w:iCs/>
        </w:rPr>
        <w:t>The locations and radius of operation of Radio Astronomy stations are well-known and published via various sources, such as NTIA and the ITU frequency registry.</w:t>
      </w:r>
    </w:p>
    <w:p w14:paraId="3435B310" w14:textId="182C429D" w:rsidR="004C29DC" w:rsidRDefault="004C29DC" w:rsidP="004C29DC">
      <w:pPr>
        <w:pStyle w:val="Heading3"/>
      </w:pPr>
      <w:r w:rsidRPr="004074C8">
        <w:t>2.1.</w:t>
      </w:r>
      <w:r>
        <w:t>2</w:t>
      </w:r>
      <w:r w:rsidRPr="004074C8">
        <w:t xml:space="preserve"> </w:t>
      </w:r>
      <w:r>
        <w:t>Proposed Approach</w:t>
      </w:r>
    </w:p>
    <w:p w14:paraId="7FD61AB4" w14:textId="1F57E376" w:rsidR="004C29DC" w:rsidRDefault="00594F8B" w:rsidP="004C29DC">
      <w:r>
        <w:t xml:space="preserve">In order to </w:t>
      </w:r>
      <w:r w:rsidR="001A3B99">
        <w:t>improve the protection of</w:t>
      </w:r>
      <w:r w:rsidR="00912C2E">
        <w:t xml:space="preserve"> Radio Astronomy stations,</w:t>
      </w:r>
      <w:r w:rsidR="001A3B99">
        <w:t xml:space="preserve"> </w:t>
      </w:r>
      <w:r w:rsidR="00F10358">
        <w:t>we propose a number of possible mechanisms.  Currently, no explicit mechanisms are specified, but implicit mechanisms, such as RB restrictions</w:t>
      </w:r>
      <w:r w:rsidR="00912626">
        <w:t>, can be implemented.</w:t>
      </w:r>
    </w:p>
    <w:p w14:paraId="57ABC413" w14:textId="5D48EFC3" w:rsidR="00912626" w:rsidRDefault="00912626" w:rsidP="004C29DC">
      <w:r>
        <w:t xml:space="preserve">It is also necessary for the network to be aware of the coarse location of </w:t>
      </w:r>
      <w:r w:rsidR="00E817FB">
        <w:t xml:space="preserve">UE that are operating in the vicinity of Radio Astronomy stations.  </w:t>
      </w:r>
    </w:p>
    <w:p w14:paraId="751E2CDA" w14:textId="72B65DCD" w:rsidR="002429AC" w:rsidRDefault="00594F8B" w:rsidP="002429AC">
      <w:pPr>
        <w:rPr>
          <w:b/>
          <w:bCs/>
          <w:i/>
          <w:iCs/>
        </w:rPr>
      </w:pPr>
      <w:r>
        <w:rPr>
          <w:b/>
          <w:bCs/>
          <w:i/>
          <w:iCs/>
        </w:rPr>
        <w:t xml:space="preserve">Proposal 1: </w:t>
      </w:r>
      <w:r w:rsidR="002429AC">
        <w:rPr>
          <w:b/>
          <w:bCs/>
          <w:i/>
          <w:iCs/>
        </w:rPr>
        <w:t>Specify a “TX disable” signal</w:t>
      </w:r>
      <w:r w:rsidR="006211A6">
        <w:rPr>
          <w:b/>
          <w:bCs/>
          <w:i/>
          <w:iCs/>
        </w:rPr>
        <w:t xml:space="preserve"> to be issued by the Network </w:t>
      </w:r>
      <w:r w:rsidR="006211A6" w:rsidRPr="00945CAE">
        <w:rPr>
          <w:b/>
          <w:bCs/>
          <w:i/>
          <w:iCs/>
        </w:rPr>
        <w:t>when a UE is close to a radioastronomy station which is registered in the ITU master international frequency register</w:t>
      </w:r>
      <w:r w:rsidR="006211A6">
        <w:rPr>
          <w:b/>
          <w:bCs/>
          <w:i/>
          <w:iCs/>
        </w:rPr>
        <w:t>.</w:t>
      </w:r>
    </w:p>
    <w:p w14:paraId="786A574E" w14:textId="0EF6F299" w:rsidR="002429AC" w:rsidRDefault="002429AC" w:rsidP="002429AC">
      <w:pPr>
        <w:rPr>
          <w:b/>
          <w:bCs/>
          <w:i/>
          <w:iCs/>
        </w:rPr>
      </w:pPr>
      <w:r>
        <w:rPr>
          <w:b/>
          <w:bCs/>
          <w:i/>
          <w:iCs/>
        </w:rPr>
        <w:t>Proposal 2: Further study</w:t>
      </w:r>
      <w:r w:rsidR="00594F8B">
        <w:rPr>
          <w:b/>
          <w:bCs/>
          <w:i/>
          <w:iCs/>
        </w:rPr>
        <w:t xml:space="preserve"> mechanisms to improve protection of Radio Astronomy stations</w:t>
      </w:r>
      <w:r>
        <w:rPr>
          <w:b/>
          <w:bCs/>
          <w:i/>
          <w:iCs/>
        </w:rPr>
        <w:t>, the following options could be considered</w:t>
      </w:r>
      <w:r w:rsidR="006211A6">
        <w:rPr>
          <w:b/>
          <w:bCs/>
          <w:i/>
          <w:iCs/>
        </w:rPr>
        <w:t>:</w:t>
      </w:r>
    </w:p>
    <w:p w14:paraId="62C489F8" w14:textId="0090E06A" w:rsidR="006211A6" w:rsidRDefault="006211A6" w:rsidP="006211A6">
      <w:pPr>
        <w:pStyle w:val="ListParagraph"/>
        <w:numPr>
          <w:ilvl w:val="0"/>
          <w:numId w:val="6"/>
        </w:numPr>
        <w:rPr>
          <w:b/>
          <w:bCs/>
          <w:i/>
          <w:iCs/>
        </w:rPr>
      </w:pPr>
      <w:r>
        <w:rPr>
          <w:b/>
          <w:bCs/>
          <w:i/>
          <w:iCs/>
        </w:rPr>
        <w:t>TX Disable</w:t>
      </w:r>
    </w:p>
    <w:p w14:paraId="3A45910C" w14:textId="2B37CED8" w:rsidR="006211A6" w:rsidRDefault="006211A6" w:rsidP="006211A6">
      <w:pPr>
        <w:pStyle w:val="ListParagraph"/>
        <w:numPr>
          <w:ilvl w:val="0"/>
          <w:numId w:val="6"/>
        </w:numPr>
        <w:rPr>
          <w:b/>
          <w:bCs/>
          <w:i/>
          <w:iCs/>
        </w:rPr>
      </w:pPr>
      <w:r>
        <w:rPr>
          <w:b/>
          <w:bCs/>
          <w:i/>
          <w:iCs/>
        </w:rPr>
        <w:t>RB restrictions</w:t>
      </w:r>
    </w:p>
    <w:p w14:paraId="0501BB45" w14:textId="6F0AA5B2" w:rsidR="006211A6" w:rsidRPr="006211A6" w:rsidRDefault="006211A6" w:rsidP="006211A6">
      <w:pPr>
        <w:pStyle w:val="ListParagraph"/>
        <w:numPr>
          <w:ilvl w:val="0"/>
          <w:numId w:val="6"/>
        </w:numPr>
        <w:rPr>
          <w:b/>
          <w:bCs/>
          <w:i/>
          <w:iCs/>
        </w:rPr>
      </w:pPr>
      <w:r>
        <w:rPr>
          <w:b/>
          <w:bCs/>
          <w:i/>
          <w:iCs/>
        </w:rPr>
        <w:t>NS</w:t>
      </w:r>
    </w:p>
    <w:p w14:paraId="250275F8" w14:textId="3B8B2AA4" w:rsidR="00594F8B" w:rsidRPr="00945CAE" w:rsidRDefault="00594F8B" w:rsidP="00594F8B">
      <w:pPr>
        <w:rPr>
          <w:b/>
          <w:bCs/>
          <w:i/>
          <w:iCs/>
        </w:rPr>
      </w:pPr>
      <w:r w:rsidRPr="00945CAE">
        <w:rPr>
          <w:b/>
          <w:bCs/>
          <w:i/>
          <w:iCs/>
        </w:rPr>
        <w:t xml:space="preserve">Proposal </w:t>
      </w:r>
      <w:r w:rsidR="002429AC">
        <w:rPr>
          <w:b/>
          <w:bCs/>
          <w:i/>
          <w:iCs/>
        </w:rPr>
        <w:t>3</w:t>
      </w:r>
      <w:r w:rsidRPr="00945CAE">
        <w:rPr>
          <w:b/>
          <w:bCs/>
          <w:i/>
          <w:iCs/>
        </w:rPr>
        <w:t>: Further investigation is required in order to understand what ‘close’ to a radioastronomy station means in practical distances and limits depending on device transmission characteristics.</w:t>
      </w:r>
    </w:p>
    <w:p w14:paraId="06CD160D" w14:textId="7992A8F1" w:rsidR="00E817FB" w:rsidRPr="000565F3" w:rsidRDefault="00E817FB" w:rsidP="00E817FB">
      <w:pPr>
        <w:rPr>
          <w:b/>
          <w:bCs/>
          <w:i/>
          <w:iCs/>
        </w:rPr>
      </w:pPr>
      <w:r>
        <w:rPr>
          <w:b/>
          <w:bCs/>
          <w:i/>
          <w:iCs/>
        </w:rPr>
        <w:t>Proposal 4: Derivation of distance from a RA station which yields this PFD performance should be calculated, and these distances / limits may become an additional network signalled value in the event a UE is within this distance from an RA station on the ITU master frequency international register.</w:t>
      </w:r>
    </w:p>
    <w:p w14:paraId="6725823E" w14:textId="77777777" w:rsidR="00594F8B" w:rsidRDefault="00594F8B" w:rsidP="004C29DC"/>
    <w:p w14:paraId="6DF5802C" w14:textId="7ADF425A" w:rsidR="005C00C6" w:rsidRDefault="005C00C6" w:rsidP="005C00C6">
      <w:pPr>
        <w:pStyle w:val="Heading2"/>
      </w:pPr>
      <w:r>
        <w:t>2.2 EN 301 681 General Regulatory Information</w:t>
      </w:r>
    </w:p>
    <w:p w14:paraId="790976C1" w14:textId="786985CA" w:rsidR="00AB341A" w:rsidRDefault="005C00C6" w:rsidP="005C00C6">
      <w:r w:rsidRPr="005C00C6">
        <w:t>The ETSI EN 301 681 harmonized standard mandates th</w:t>
      </w:r>
      <w:r>
        <w:t xml:space="preserve">e regulatory spectrum emissions concerned with L-band and Extended L-band. Band 253 is </w:t>
      </w:r>
      <w:r w:rsidR="00B12374">
        <w:t>extended L-band, and bands 251 and 250 are combinations of L-band and extended L-band</w:t>
      </w:r>
      <w:r w:rsidR="00C56E3F">
        <w:t xml:space="preserve"> as seen in Table 1.</w:t>
      </w:r>
      <w:r w:rsidR="00AB341A">
        <w:t xml:space="preserve"> </w:t>
      </w:r>
    </w:p>
    <w:p w14:paraId="13B94384" w14:textId="2262425B" w:rsidR="00AB341A" w:rsidRDefault="00AB341A" w:rsidP="00AB341A">
      <w:pPr>
        <w:pStyle w:val="Heading3"/>
      </w:pPr>
      <w:r>
        <w:t>2.2.1 Out of Band Masks</w:t>
      </w:r>
    </w:p>
    <w:p w14:paraId="161B3351" w14:textId="345CCE83" w:rsidR="00CD4C17" w:rsidRDefault="00353E9A" w:rsidP="00353E9A">
      <w:r>
        <w:t>If a UE has only the capability of operating using the L-band spectrum (</w:t>
      </w:r>
      <w:r w:rsidR="00CD4C17">
        <w:t xml:space="preserve">e.g. a UE which exclusively utilises </w:t>
      </w:r>
      <w:r>
        <w:t>band 25</w:t>
      </w:r>
      <w:r w:rsidR="00CD4C17">
        <w:t>1) the spectrum emissions mask which the UE must comply with is captured in Table 3 within ETSI EN 301 681.</w:t>
      </w:r>
    </w:p>
    <w:p w14:paraId="406FC085" w14:textId="5558B6DF" w:rsidR="001F5CC6" w:rsidRDefault="001F5CC6" w:rsidP="00353E9A">
      <w:r>
        <w:t>The spectrum emissions mask is as follows for Table 3:</w:t>
      </w:r>
    </w:p>
    <w:p w14:paraId="6D2DB982" w14:textId="77777777" w:rsidR="00272D03" w:rsidRDefault="00272D03" w:rsidP="00272D03">
      <w:pPr>
        <w:keepNext/>
        <w:jc w:val="center"/>
      </w:pPr>
      <w:r>
        <w:rPr>
          <w:noProof/>
        </w:rPr>
        <w:drawing>
          <wp:inline distT="0" distB="0" distL="0" distR="0" wp14:anchorId="7BEA6515" wp14:editId="4FDB03DC">
            <wp:extent cx="5172075" cy="3971925"/>
            <wp:effectExtent l="0" t="0" r="9525" b="9525"/>
            <wp:docPr id="880255496" name="Picture 1" descr="A graph of a graph of a band emiss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255496" name="Picture 1" descr="A graph of a graph of a band emission&#10;&#10;Description automatically generated with medium confidence"/>
                    <pic:cNvPicPr/>
                  </pic:nvPicPr>
                  <pic:blipFill>
                    <a:blip r:embed="rId16"/>
                    <a:stretch>
                      <a:fillRect/>
                    </a:stretch>
                  </pic:blipFill>
                  <pic:spPr>
                    <a:xfrm>
                      <a:off x="0" y="0"/>
                      <a:ext cx="5172075" cy="3971925"/>
                    </a:xfrm>
                    <a:prstGeom prst="rect">
                      <a:avLst/>
                    </a:prstGeom>
                  </pic:spPr>
                </pic:pic>
              </a:graphicData>
            </a:graphic>
          </wp:inline>
        </w:drawing>
      </w:r>
    </w:p>
    <w:p w14:paraId="27800FAF" w14:textId="4EF99630" w:rsidR="001F5CC6" w:rsidRPr="00353E9A" w:rsidRDefault="00272D03" w:rsidP="00272D03">
      <w:pPr>
        <w:pStyle w:val="Caption"/>
        <w:jc w:val="center"/>
      </w:pPr>
      <w:r>
        <w:t xml:space="preserve">Figure </w:t>
      </w:r>
      <w:r>
        <w:fldChar w:fldCharType="begin"/>
      </w:r>
      <w:r>
        <w:instrText xml:space="preserve"> SEQ Figure \* ARABIC </w:instrText>
      </w:r>
      <w:r>
        <w:fldChar w:fldCharType="separate"/>
      </w:r>
      <w:r w:rsidR="005B2D74">
        <w:rPr>
          <w:noProof/>
        </w:rPr>
        <w:t>1</w:t>
      </w:r>
      <w:r>
        <w:fldChar w:fldCharType="end"/>
      </w:r>
      <w:r>
        <w:t xml:space="preserve"> EN 301 681 Table 3 OOB SEM</w:t>
      </w:r>
    </w:p>
    <w:p w14:paraId="5CE3FEEE" w14:textId="18ABC274" w:rsidR="00AB341A" w:rsidRDefault="00AB341A" w:rsidP="00AB341A">
      <w:r>
        <w:t>If a UE has the capability of operating using any part of the extended L-band spectrum</w:t>
      </w:r>
      <w:r w:rsidR="008C3B97">
        <w:t xml:space="preserve"> (</w:t>
      </w:r>
      <w:r w:rsidR="00CD4C17">
        <w:t xml:space="preserve">e.g. a UE which exclusively utilises </w:t>
      </w:r>
      <w:r w:rsidR="008C3B97">
        <w:t>bands 253 and 250)</w:t>
      </w:r>
      <w:r>
        <w:t>, the spectrum emissions mask w</w:t>
      </w:r>
      <w:r w:rsidR="008C3B97">
        <w:t xml:space="preserve">hich the UE must comply with is captured in </w:t>
      </w:r>
      <w:r w:rsidR="00353E9A">
        <w:t>Table 3a</w:t>
      </w:r>
      <w:r w:rsidR="00CD4C17">
        <w:t xml:space="preserve"> within EN 301 681</w:t>
      </w:r>
      <w:r w:rsidR="00353E9A">
        <w:t>.</w:t>
      </w:r>
    </w:p>
    <w:p w14:paraId="0EE2A651" w14:textId="0175C3DA" w:rsidR="00272D03" w:rsidRDefault="00272D03" w:rsidP="00272D03">
      <w:r>
        <w:t>The spectrum emissions mask is as follows for Table 3a:</w:t>
      </w:r>
    </w:p>
    <w:p w14:paraId="651B1B61" w14:textId="77777777" w:rsidR="004E2054" w:rsidRDefault="004E2054" w:rsidP="004E2054">
      <w:pPr>
        <w:keepNext/>
        <w:jc w:val="center"/>
      </w:pPr>
      <w:r>
        <w:rPr>
          <w:noProof/>
        </w:rPr>
        <w:drawing>
          <wp:inline distT="0" distB="0" distL="0" distR="0" wp14:anchorId="23004A11" wp14:editId="5D262B17">
            <wp:extent cx="5153025" cy="3914775"/>
            <wp:effectExtent l="0" t="0" r="9525" b="9525"/>
            <wp:docPr id="649353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353375" name=""/>
                    <pic:cNvPicPr/>
                  </pic:nvPicPr>
                  <pic:blipFill>
                    <a:blip r:embed="rId17"/>
                    <a:stretch>
                      <a:fillRect/>
                    </a:stretch>
                  </pic:blipFill>
                  <pic:spPr>
                    <a:xfrm>
                      <a:off x="0" y="0"/>
                      <a:ext cx="5153025" cy="3914775"/>
                    </a:xfrm>
                    <a:prstGeom prst="rect">
                      <a:avLst/>
                    </a:prstGeom>
                  </pic:spPr>
                </pic:pic>
              </a:graphicData>
            </a:graphic>
          </wp:inline>
        </w:drawing>
      </w:r>
    </w:p>
    <w:p w14:paraId="5756B14B" w14:textId="1EB7A6E0" w:rsidR="00CD4C17" w:rsidRPr="00AB341A" w:rsidRDefault="004E2054" w:rsidP="004E2054">
      <w:pPr>
        <w:pStyle w:val="Caption"/>
        <w:jc w:val="center"/>
      </w:pPr>
      <w:r>
        <w:t xml:space="preserve">Figure </w:t>
      </w:r>
      <w:r>
        <w:fldChar w:fldCharType="begin"/>
      </w:r>
      <w:r>
        <w:instrText xml:space="preserve"> SEQ Figure \* ARABIC </w:instrText>
      </w:r>
      <w:r>
        <w:fldChar w:fldCharType="separate"/>
      </w:r>
      <w:r w:rsidR="005B2D74">
        <w:rPr>
          <w:noProof/>
        </w:rPr>
        <w:t>2</w:t>
      </w:r>
      <w:r>
        <w:fldChar w:fldCharType="end"/>
      </w:r>
      <w:r>
        <w:t xml:space="preserve"> </w:t>
      </w:r>
      <w:r w:rsidRPr="00D0672B">
        <w:t xml:space="preserve">EN 301 681 Table </w:t>
      </w:r>
      <w:r>
        <w:t>3a</w:t>
      </w:r>
      <w:r w:rsidRPr="00D0672B">
        <w:t xml:space="preserve"> OOB SEM</w:t>
      </w:r>
    </w:p>
    <w:p w14:paraId="257033C6" w14:textId="21A45007" w:rsidR="00AB341A" w:rsidRPr="001F7AFE" w:rsidRDefault="001F7AFE" w:rsidP="00AB341A">
      <w:pPr>
        <w:rPr>
          <w:b/>
          <w:bCs/>
          <w:i/>
          <w:iCs/>
        </w:rPr>
      </w:pPr>
      <w:r>
        <w:rPr>
          <w:b/>
          <w:bCs/>
          <w:i/>
          <w:iCs/>
        </w:rPr>
        <w:t xml:space="preserve">Observation </w:t>
      </w:r>
      <w:r w:rsidR="00125E9C">
        <w:rPr>
          <w:b/>
          <w:bCs/>
          <w:i/>
          <w:iCs/>
        </w:rPr>
        <w:t>3</w:t>
      </w:r>
      <w:r>
        <w:rPr>
          <w:b/>
          <w:bCs/>
          <w:i/>
          <w:iCs/>
        </w:rPr>
        <w:t>: The ETSI EN 301 681 harmonized standard provides regulatory out of band spectrum emissions masks for ESD for</w:t>
      </w:r>
      <w:r w:rsidR="00A74C9C">
        <w:rPr>
          <w:b/>
          <w:bCs/>
          <w:i/>
          <w:iCs/>
        </w:rPr>
        <w:t xml:space="preserve"> L-band and extended L-band operation, which is applicable to</w:t>
      </w:r>
      <w:r>
        <w:rPr>
          <w:b/>
          <w:bCs/>
          <w:i/>
          <w:iCs/>
        </w:rPr>
        <w:t xml:space="preserve"> bands 253, 251 and 250.</w:t>
      </w:r>
    </w:p>
    <w:p w14:paraId="0CA48696" w14:textId="63AE7093" w:rsidR="00AB341A" w:rsidRDefault="00AB341A" w:rsidP="00AB341A">
      <w:pPr>
        <w:pStyle w:val="Heading3"/>
      </w:pPr>
      <w:r>
        <w:t>2.2.2 In-band Mask</w:t>
      </w:r>
    </w:p>
    <w:p w14:paraId="425D62AF" w14:textId="03193B12" w:rsidR="00AB341A" w:rsidRDefault="00A74C9C" w:rsidP="00AB341A">
      <w:r>
        <w:t>The ETSI EN 301 681 also provides an in-band spectrum emissions mask, capture</w:t>
      </w:r>
      <w:r w:rsidR="00BB3B12">
        <w:t>d</w:t>
      </w:r>
      <w:r>
        <w:t xml:space="preserve"> in Table 4</w:t>
      </w:r>
      <w:r w:rsidR="00BB3B12">
        <w:t>a. The limits specified in the table are taken from the edge of the nominated bandwidth of the transmission.</w:t>
      </w:r>
      <w:r w:rsidR="00802BCE">
        <w:t xml:space="preserve"> The nominated bandwidth is declared by the UE manufacturer and is defined as follows:</w:t>
      </w:r>
    </w:p>
    <w:p w14:paraId="4C6CF488" w14:textId="67399479" w:rsidR="00802BCE" w:rsidRDefault="00802BCE" w:rsidP="00802BCE">
      <w:r>
        <w:rPr>
          <w:b/>
          <w:bCs/>
        </w:rPr>
        <w:t xml:space="preserve">Nominated bandwidth (Bn): </w:t>
      </w:r>
      <w:r w:rsidRPr="00802BCE">
        <w:t>bandwidth of the MES radio frequency transmission that is nominated by the applicant</w:t>
      </w:r>
      <w:r>
        <w:t xml:space="preserve"> </w:t>
      </w:r>
      <w:r w:rsidRPr="00802BCE">
        <w:t xml:space="preserve">and that is wide enough to encompass all spectral elements of the transmission necessary for communication and </w:t>
      </w:r>
      <w:r>
        <w:t xml:space="preserve">which </w:t>
      </w:r>
      <w:r w:rsidRPr="00802BCE">
        <w:t>have a level greater than the specified unwanted emissions limits; also the nominated bandwidth is centred on the</w:t>
      </w:r>
      <w:r>
        <w:t xml:space="preserve"> </w:t>
      </w:r>
      <w:r w:rsidRPr="00802BCE">
        <w:t>transmit frequency and does not exceed 180 % of the 3 dB bandwidth of the signal and is within the assigned part of the</w:t>
      </w:r>
      <w:r>
        <w:t xml:space="preserve"> </w:t>
      </w:r>
      <w:r w:rsidRPr="00802BCE">
        <w:t>MSS transmit frequency band within which the MES operates</w:t>
      </w:r>
      <w:r>
        <w:t>.</w:t>
      </w:r>
      <w:r w:rsidR="00C23DA1">
        <w:t xml:space="preserve"> NOTE: the nominated bandwidth is wide enough to take into account the transmit carrier frequency stability.</w:t>
      </w:r>
    </w:p>
    <w:p w14:paraId="6D207C01" w14:textId="65B87DCB" w:rsidR="006240D9" w:rsidRPr="006240D9" w:rsidRDefault="006240D9" w:rsidP="00802BCE">
      <w:pPr>
        <w:rPr>
          <w:b/>
          <w:bCs/>
          <w:i/>
          <w:iCs/>
        </w:rPr>
      </w:pPr>
      <w:r w:rsidRPr="006240D9">
        <w:rPr>
          <w:b/>
          <w:bCs/>
          <w:i/>
          <w:iCs/>
        </w:rPr>
        <w:t xml:space="preserve">Observation </w:t>
      </w:r>
      <w:r w:rsidR="00125E9C">
        <w:rPr>
          <w:b/>
          <w:bCs/>
          <w:i/>
          <w:iCs/>
        </w:rPr>
        <w:t>4</w:t>
      </w:r>
      <w:r w:rsidRPr="006240D9">
        <w:rPr>
          <w:b/>
          <w:bCs/>
          <w:i/>
          <w:iCs/>
        </w:rPr>
        <w:t>: ETSI EN 301 681 defines a nominated</w:t>
      </w:r>
      <w:r w:rsidR="00661150">
        <w:rPr>
          <w:b/>
          <w:bCs/>
          <w:i/>
          <w:iCs/>
        </w:rPr>
        <w:t xml:space="preserve"> transmission</w:t>
      </w:r>
      <w:r w:rsidRPr="006240D9">
        <w:rPr>
          <w:b/>
          <w:bCs/>
          <w:i/>
          <w:iCs/>
        </w:rPr>
        <w:t xml:space="preserve"> </w:t>
      </w:r>
      <w:r>
        <w:rPr>
          <w:b/>
          <w:bCs/>
          <w:i/>
          <w:iCs/>
        </w:rPr>
        <w:t>bandwidth, which can be as wide as 180% of the 3dB bandwidth of the signal of interest. The edge of the nominated bandwidth is where the in-band ETSI EN 301 681 spectrum emissions mask is taken from.</w:t>
      </w:r>
    </w:p>
    <w:p w14:paraId="20393DCC" w14:textId="77777777" w:rsidR="00B72351" w:rsidRDefault="00A65643" w:rsidP="00B72351">
      <w:pPr>
        <w:keepNext/>
        <w:jc w:val="center"/>
      </w:pPr>
      <w:r>
        <w:rPr>
          <w:noProof/>
        </w:rPr>
        <w:drawing>
          <wp:inline distT="0" distB="0" distL="0" distR="0" wp14:anchorId="762020EA" wp14:editId="3F49C4BC">
            <wp:extent cx="4673600" cy="3588959"/>
            <wp:effectExtent l="0" t="0" r="0" b="0"/>
            <wp:docPr id="532621330"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21330" name="Picture 1" descr="A graph with a line&#10;&#10;Description automatically generated"/>
                    <pic:cNvPicPr/>
                  </pic:nvPicPr>
                  <pic:blipFill>
                    <a:blip r:embed="rId18"/>
                    <a:stretch>
                      <a:fillRect/>
                    </a:stretch>
                  </pic:blipFill>
                  <pic:spPr>
                    <a:xfrm>
                      <a:off x="0" y="0"/>
                      <a:ext cx="4682997" cy="3596175"/>
                    </a:xfrm>
                    <a:prstGeom prst="rect">
                      <a:avLst/>
                    </a:prstGeom>
                  </pic:spPr>
                </pic:pic>
              </a:graphicData>
            </a:graphic>
          </wp:inline>
        </w:drawing>
      </w:r>
    </w:p>
    <w:p w14:paraId="0A7257EA" w14:textId="5F65EC4F" w:rsidR="00C23DA1" w:rsidRPr="006240D9" w:rsidRDefault="00B72351" w:rsidP="00B72351">
      <w:pPr>
        <w:pStyle w:val="Caption"/>
        <w:jc w:val="center"/>
      </w:pPr>
      <w:r>
        <w:t xml:space="preserve">Figure </w:t>
      </w:r>
      <w:r>
        <w:fldChar w:fldCharType="begin"/>
      </w:r>
      <w:r>
        <w:instrText xml:space="preserve"> SEQ Figure \* ARABIC </w:instrText>
      </w:r>
      <w:r>
        <w:fldChar w:fldCharType="separate"/>
      </w:r>
      <w:r w:rsidR="005B2D74">
        <w:rPr>
          <w:noProof/>
        </w:rPr>
        <w:t>3</w:t>
      </w:r>
      <w:r>
        <w:fldChar w:fldCharType="end"/>
      </w:r>
      <w:r>
        <w:t xml:space="preserve"> EN 301 681 Table 4a In-band Spectrum Emissions Mask</w:t>
      </w:r>
    </w:p>
    <w:p w14:paraId="2D4834C0" w14:textId="3D30ABA9" w:rsidR="00802BCE" w:rsidRPr="00A10CE5" w:rsidRDefault="00A10CE5" w:rsidP="00802BCE">
      <w:pPr>
        <w:rPr>
          <w:b/>
          <w:bCs/>
          <w:i/>
          <w:iCs/>
        </w:rPr>
      </w:pPr>
      <w:r w:rsidRPr="00A10CE5">
        <w:rPr>
          <w:b/>
          <w:bCs/>
          <w:i/>
          <w:iCs/>
        </w:rPr>
        <w:t xml:space="preserve">Observation </w:t>
      </w:r>
      <w:r w:rsidR="00125E9C">
        <w:rPr>
          <w:b/>
          <w:bCs/>
          <w:i/>
          <w:iCs/>
        </w:rPr>
        <w:t>5</w:t>
      </w:r>
      <w:r w:rsidRPr="00A10CE5">
        <w:rPr>
          <w:b/>
          <w:bCs/>
          <w:i/>
          <w:iCs/>
        </w:rPr>
        <w:t>: ETSI EN 301 681 harmonized standard pro</w:t>
      </w:r>
      <w:r>
        <w:rPr>
          <w:b/>
          <w:bCs/>
          <w:i/>
          <w:iCs/>
        </w:rPr>
        <w:t>vides regulatory in-band band spectrum emissions masks for ESD for L-band and extended L-band operation, which is applicable to bands 253, 251 and 250.</w:t>
      </w:r>
    </w:p>
    <w:p w14:paraId="3955652B" w14:textId="6EEC5744" w:rsidR="008F2CF6" w:rsidRDefault="008F2CF6" w:rsidP="005C00C6">
      <w:pPr>
        <w:pStyle w:val="Heading3"/>
      </w:pPr>
      <w:r>
        <w:t>2.2</w:t>
      </w:r>
      <w:r w:rsidR="005C00C6">
        <w:t>.</w:t>
      </w:r>
      <w:r w:rsidR="00AB341A">
        <w:t>3</w:t>
      </w:r>
      <w:r>
        <w:t xml:space="preserve"> Protection </w:t>
      </w:r>
      <w:r w:rsidR="00647BAC">
        <w:t>MSS Big LEO bands</w:t>
      </w:r>
    </w:p>
    <w:p w14:paraId="281B8B19" w14:textId="7B9ADA86" w:rsidR="008F2CF6" w:rsidRDefault="00647BAC" w:rsidP="008F2CF6">
      <w:r>
        <w:t xml:space="preserve">The frequency bands in the </w:t>
      </w:r>
      <w:r w:rsidR="003C1114">
        <w:t>1616-</w:t>
      </w:r>
      <w:r w:rsidR="003A2EF0">
        <w:t>1626.5MHz</w:t>
      </w:r>
      <w:r>
        <w:t xml:space="preserve"> are licensed to other MSS operators</w:t>
      </w:r>
      <w:r w:rsidR="003A2EF0">
        <w:t xml:space="preserve">. The portion of this spectrum from 1626-1626.5MHz is licensed globally. The harmonized standard ETSI EN 301 681 </w:t>
      </w:r>
      <w:r w:rsidR="00255C08">
        <w:t xml:space="preserve">mandates a spectrum emission mask to protect </w:t>
      </w:r>
      <w:r w:rsidR="001228B0">
        <w:t>this</w:t>
      </w:r>
      <w:r w:rsidR="00255C08">
        <w:t xml:space="preserve"> band:</w:t>
      </w:r>
    </w:p>
    <w:p w14:paraId="2196982E" w14:textId="53F299CC" w:rsidR="00004133" w:rsidRDefault="0042641C" w:rsidP="00004133">
      <w:pPr>
        <w:keepNext/>
        <w:jc w:val="center"/>
      </w:pPr>
      <w:r>
        <w:rPr>
          <w:noProof/>
        </w:rPr>
        <w:drawing>
          <wp:inline distT="0" distB="0" distL="0" distR="0" wp14:anchorId="1D02F8B5" wp14:editId="5DE54D9A">
            <wp:extent cx="5248205" cy="3943350"/>
            <wp:effectExtent l="0" t="0" r="0" b="0"/>
            <wp:docPr id="2011924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24167"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5248205" cy="3943350"/>
                    </a:xfrm>
                    <a:prstGeom prst="rect">
                      <a:avLst/>
                    </a:prstGeom>
                  </pic:spPr>
                </pic:pic>
              </a:graphicData>
            </a:graphic>
          </wp:inline>
        </w:drawing>
      </w:r>
    </w:p>
    <w:p w14:paraId="1FC23695" w14:textId="5D1CF74A" w:rsidR="00255C08" w:rsidRDefault="00004133" w:rsidP="00004133">
      <w:pPr>
        <w:pStyle w:val="Caption"/>
        <w:jc w:val="center"/>
      </w:pPr>
      <w:r>
        <w:t xml:space="preserve">Figure </w:t>
      </w:r>
      <w:r>
        <w:fldChar w:fldCharType="begin"/>
      </w:r>
      <w:r>
        <w:instrText xml:space="preserve"> SEQ Figure \* ARABIC </w:instrText>
      </w:r>
      <w:r>
        <w:fldChar w:fldCharType="separate"/>
      </w:r>
      <w:r w:rsidR="005B2D74">
        <w:rPr>
          <w:noProof/>
        </w:rPr>
        <w:t>4</w:t>
      </w:r>
      <w:r>
        <w:fldChar w:fldCharType="end"/>
      </w:r>
      <w:r>
        <w:t xml:space="preserve"> </w:t>
      </w:r>
      <w:r w:rsidRPr="006D019F">
        <w:t>Spectrum Emissions Masks for EN 301 681</w:t>
      </w:r>
    </w:p>
    <w:p w14:paraId="32405C5F" w14:textId="662B1A62" w:rsidR="00004133" w:rsidRDefault="00004133" w:rsidP="00004133">
      <w:r>
        <w:t xml:space="preserve">Comparing the in-band mask to the </w:t>
      </w:r>
      <w:r w:rsidR="00770B61">
        <w:t xml:space="preserve">out of band mask for the lower band edge of the L-band spectrum (i.e. the edge which borders the </w:t>
      </w:r>
      <w:r w:rsidR="005C2214">
        <w:t>other operator’s</w:t>
      </w:r>
      <w:r w:rsidR="00770B61">
        <w:t xml:space="preserve"> spectrum), we can see that the </w:t>
      </w:r>
      <w:proofErr w:type="spellStart"/>
      <w:r w:rsidR="0042641C">
        <w:t>the</w:t>
      </w:r>
      <w:proofErr w:type="spellEnd"/>
      <w:r w:rsidR="0042641C">
        <w:t xml:space="preserve"> emissions limits imposed on this lower edge are up to 40dB more stringent when compared to the in-band mask.</w:t>
      </w:r>
    </w:p>
    <w:p w14:paraId="07DC1AC7" w14:textId="51879049" w:rsidR="0042641C" w:rsidRDefault="008A6E5C" w:rsidP="00004133">
      <w:pPr>
        <w:rPr>
          <w:b/>
          <w:bCs/>
          <w:i/>
        </w:rPr>
      </w:pPr>
      <w:r>
        <w:rPr>
          <w:b/>
          <w:bCs/>
          <w:i/>
          <w:iCs/>
        </w:rPr>
        <w:t>Observation</w:t>
      </w:r>
      <w:r w:rsidR="0042641C" w:rsidRPr="003C31BE">
        <w:rPr>
          <w:b/>
          <w:bCs/>
          <w:i/>
          <w:iCs/>
        </w:rPr>
        <w:t xml:space="preserve"> </w:t>
      </w:r>
      <w:r>
        <w:rPr>
          <w:b/>
          <w:bCs/>
          <w:i/>
          <w:iCs/>
        </w:rPr>
        <w:t>6</w:t>
      </w:r>
      <w:r w:rsidR="0042641C" w:rsidRPr="003C31BE">
        <w:rPr>
          <w:b/>
          <w:bCs/>
          <w:i/>
          <w:iCs/>
        </w:rPr>
        <w:t xml:space="preserve">: </w:t>
      </w:r>
      <w:r w:rsidR="0042641C" w:rsidRPr="003C31BE">
        <w:rPr>
          <w:b/>
          <w:bCs/>
          <w:i/>
        </w:rPr>
        <w:t xml:space="preserve">The ETSI EN 301 681 specification captures the </w:t>
      </w:r>
      <w:proofErr w:type="spellStart"/>
      <w:r w:rsidR="00DA582B" w:rsidRPr="003C31BE">
        <w:rPr>
          <w:b/>
          <w:bCs/>
          <w:i/>
        </w:rPr>
        <w:t>emisisons</w:t>
      </w:r>
      <w:proofErr w:type="spellEnd"/>
      <w:r w:rsidR="00DA582B" w:rsidRPr="003C31BE">
        <w:rPr>
          <w:b/>
          <w:bCs/>
          <w:i/>
        </w:rPr>
        <w:t xml:space="preserve"> requirements for the protection of the </w:t>
      </w:r>
      <w:r w:rsidR="00952FB1" w:rsidRPr="003C31BE">
        <w:rPr>
          <w:b/>
          <w:bCs/>
          <w:i/>
        </w:rPr>
        <w:t>other operators</w:t>
      </w:r>
      <w:r w:rsidR="00154753" w:rsidRPr="003C31BE">
        <w:rPr>
          <w:b/>
          <w:bCs/>
          <w:i/>
        </w:rPr>
        <w:t xml:space="preserve"> transmitting at 1626-1626.5MHz</w:t>
      </w:r>
      <w:r w:rsidR="00227941" w:rsidRPr="003C31BE">
        <w:rPr>
          <w:b/>
          <w:bCs/>
          <w:i/>
        </w:rPr>
        <w:t>, and is sufficient to guarantee the protection of systems operating in th</w:t>
      </w:r>
      <w:r w:rsidR="001E1FA2" w:rsidRPr="003C31BE">
        <w:rPr>
          <w:b/>
          <w:bCs/>
          <w:i/>
        </w:rPr>
        <w:t>is band.</w:t>
      </w:r>
    </w:p>
    <w:p w14:paraId="4AC7A6DA" w14:textId="2612987D" w:rsidR="00450068" w:rsidRDefault="00450068" w:rsidP="00450068">
      <w:pPr>
        <w:pStyle w:val="Heading3"/>
      </w:pPr>
      <w:r>
        <w:t xml:space="preserve">2.2.4 ETSI </w:t>
      </w:r>
      <w:r w:rsidR="00BD04A9">
        <w:t>EN 301 681</w:t>
      </w:r>
      <w:r>
        <w:t>Testing of Requirements</w:t>
      </w:r>
    </w:p>
    <w:p w14:paraId="3D171D31" w14:textId="03D37AB8" w:rsidR="00450068" w:rsidRDefault="00450068" w:rsidP="00450068">
      <w:r>
        <w:t>In previous meetings, the point has been raised as to how a radiated requirement as specified by ETSI</w:t>
      </w:r>
      <w:r w:rsidR="0027388D">
        <w:t>. The ETSI EN 301 681 harmonized standard specifies a method by which a device can be tested for compliance to radiated requirements by means of conducted tests.</w:t>
      </w:r>
    </w:p>
    <w:p w14:paraId="2A7031CF" w14:textId="1136B4BE" w:rsidR="0027388D" w:rsidRDefault="0027388D" w:rsidP="00450068">
      <w:r>
        <w:t>Section 5.2.1.4.6 defines a methodology by which ETSI mandates radiated compliance can be discerned from conducted tests. A device can be considered compliant to ETSI if the tests are carried out via a conducted interface using the framework specified in this section, using the same test parameters as specified in the relevant test section e.g. frequency and measurement bandwidth.</w:t>
      </w:r>
    </w:p>
    <w:p w14:paraId="4BBBAA69" w14:textId="2E9F01B5" w:rsidR="0027388D" w:rsidRDefault="0027388D" w:rsidP="00450068">
      <w:r>
        <w:t xml:space="preserve">The results from these must be </w:t>
      </w:r>
      <w:r w:rsidR="00F82046">
        <w:t>then added to the highest antenna gain in the antenna beam pattern at the frequency of interest. Therefore a full characterisation of the antenna must be obtained for the whole range of frequencies</w:t>
      </w:r>
      <w:r w:rsidR="00705C76">
        <w:t xml:space="preserve"> that are to be tested.</w:t>
      </w:r>
    </w:p>
    <w:p w14:paraId="20A4CB66" w14:textId="7B9971AA" w:rsidR="00705C76" w:rsidRDefault="00A679CE" w:rsidP="00450068">
      <w:pPr>
        <w:rPr>
          <w:b/>
          <w:bCs/>
          <w:i/>
          <w:iCs/>
        </w:rPr>
      </w:pPr>
      <w:r>
        <w:rPr>
          <w:b/>
          <w:bCs/>
          <w:i/>
          <w:iCs/>
        </w:rPr>
        <w:t>Observation</w:t>
      </w:r>
      <w:r w:rsidR="00705C76">
        <w:rPr>
          <w:b/>
          <w:bCs/>
          <w:i/>
          <w:iCs/>
        </w:rPr>
        <w:t xml:space="preserve"> </w:t>
      </w:r>
      <w:r>
        <w:rPr>
          <w:b/>
          <w:bCs/>
          <w:i/>
          <w:iCs/>
        </w:rPr>
        <w:t>7</w:t>
      </w:r>
      <w:r w:rsidR="00705C76">
        <w:rPr>
          <w:b/>
          <w:bCs/>
          <w:i/>
          <w:iCs/>
        </w:rPr>
        <w:t>: Compliance to the ETSI EN 301 681 requirements can be verified via a conducted interface, with the highest antenna gain at the frequency of interest being added to the PSD of each test point to assess compliance to the emissions mask</w:t>
      </w:r>
      <w:r>
        <w:rPr>
          <w:b/>
          <w:bCs/>
          <w:i/>
          <w:iCs/>
        </w:rPr>
        <w:t>s</w:t>
      </w:r>
      <w:r w:rsidR="00705C76">
        <w:rPr>
          <w:b/>
          <w:bCs/>
          <w:i/>
          <w:iCs/>
        </w:rPr>
        <w:t xml:space="preserve"> </w:t>
      </w:r>
      <w:r>
        <w:rPr>
          <w:b/>
          <w:bCs/>
          <w:i/>
          <w:iCs/>
        </w:rPr>
        <w:t>specified</w:t>
      </w:r>
      <w:r w:rsidR="00705C76">
        <w:rPr>
          <w:b/>
          <w:bCs/>
          <w:i/>
          <w:iCs/>
        </w:rPr>
        <w:t xml:space="preserve"> in the EN 301 681 </w:t>
      </w:r>
      <w:r>
        <w:rPr>
          <w:b/>
          <w:bCs/>
          <w:i/>
          <w:iCs/>
        </w:rPr>
        <w:t>standard.</w:t>
      </w:r>
    </w:p>
    <w:p w14:paraId="7278B756" w14:textId="09A4B6DF" w:rsidR="00A679CE" w:rsidRPr="00A679CE" w:rsidRDefault="00A679CE" w:rsidP="00450068">
      <w:pPr>
        <w:rPr>
          <w:b/>
          <w:bCs/>
          <w:i/>
          <w:iCs/>
        </w:rPr>
      </w:pPr>
      <w:r>
        <w:rPr>
          <w:b/>
          <w:bCs/>
          <w:i/>
          <w:iCs/>
        </w:rPr>
        <w:t>Proposal 4: The option to assess compliance to ETSI EN 301 681 radiated requirements by conducted means should be captured in a note within the specification, stating that antenna characteristics over the full frequency range are required in order to suitable assess the compliance to these radiated requirements.</w:t>
      </w:r>
    </w:p>
    <w:p w14:paraId="1ECB1FE5" w14:textId="73EC6047" w:rsidR="00AD17DC" w:rsidRDefault="00880B64" w:rsidP="00AD17DC">
      <w:pPr>
        <w:pStyle w:val="Heading2"/>
      </w:pPr>
      <w:r>
        <w:t>2.3 FCC Part 25</w:t>
      </w:r>
    </w:p>
    <w:p w14:paraId="19FD1BA2" w14:textId="355528BF" w:rsidR="00880B64" w:rsidRDefault="00B36353" w:rsidP="00880B64">
      <w:r>
        <w:t xml:space="preserve">The FCC mandates spectrum emissions requirements depending on the nominates transmission bandwidth of the UE and the Tx power </w:t>
      </w:r>
      <w:r w:rsidR="00F41240">
        <w:t xml:space="preserve">(EIRP) </w:t>
      </w:r>
      <w:r>
        <w:t>of the UE.</w:t>
      </w:r>
      <w:r w:rsidR="00D7714C">
        <w:t xml:space="preserve"> The FCC specifies the attenuation </w:t>
      </w:r>
      <w:r w:rsidR="000063A9">
        <w:t xml:space="preserve">with reference to the UE </w:t>
      </w:r>
      <w:r w:rsidR="00310D49">
        <w:t>mean</w:t>
      </w:r>
      <w:r w:rsidR="000063A9">
        <w:t xml:space="preserve"> transmit power</w:t>
      </w:r>
      <w:r w:rsidR="005B2D74">
        <w:t xml:space="preserve"> over a measurement bandwidth of 4kHz</w:t>
      </w:r>
      <w:r w:rsidR="000063A9">
        <w:t>, the magnitude of which varies depending on the transmit power.</w:t>
      </w:r>
      <w:r>
        <w:t xml:space="preserve"> </w:t>
      </w:r>
      <w:r w:rsidR="00F41240">
        <w:t>I</w:t>
      </w:r>
      <w:r w:rsidR="00C60514">
        <w:t xml:space="preserve">n the following sections </w:t>
      </w:r>
      <w:r w:rsidR="00F41240">
        <w:t>we assume that the UE has an EIRP of -7dBW (i.e. a PC3 device with a 0dBi antenna)</w:t>
      </w:r>
      <w:r w:rsidR="00775885">
        <w:t xml:space="preserve">, and that the channel has been allocated directly adjacent to the </w:t>
      </w:r>
      <w:r w:rsidR="00D04F63">
        <w:t>edge of band</w:t>
      </w:r>
      <w:r w:rsidR="00F41240">
        <w:t>.</w:t>
      </w:r>
    </w:p>
    <w:p w14:paraId="58879CCF" w14:textId="43AD6D8D" w:rsidR="009524FB" w:rsidRDefault="009524FB" w:rsidP="009524FB">
      <w:pPr>
        <w:pStyle w:val="Heading3"/>
      </w:pPr>
      <w:r>
        <w:t>2.3.1 NR CHBW – 5MHz</w:t>
      </w:r>
    </w:p>
    <w:p w14:paraId="4040BBD2" w14:textId="77777777" w:rsidR="005B2D74" w:rsidRDefault="00D04F63" w:rsidP="005B2D74">
      <w:pPr>
        <w:keepNext/>
        <w:jc w:val="center"/>
      </w:pPr>
      <w:r>
        <w:rPr>
          <w:noProof/>
        </w:rPr>
        <w:drawing>
          <wp:inline distT="0" distB="0" distL="0" distR="0" wp14:anchorId="5EE59240" wp14:editId="0308538C">
            <wp:extent cx="5003800" cy="3805837"/>
            <wp:effectExtent l="0" t="0" r="6350" b="4445"/>
            <wp:docPr id="1381175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175964" name=""/>
                    <pic:cNvPicPr/>
                  </pic:nvPicPr>
                  <pic:blipFill>
                    <a:blip r:embed="rId20"/>
                    <a:stretch>
                      <a:fillRect/>
                    </a:stretch>
                  </pic:blipFill>
                  <pic:spPr>
                    <a:xfrm>
                      <a:off x="0" y="0"/>
                      <a:ext cx="5005380" cy="3807039"/>
                    </a:xfrm>
                    <a:prstGeom prst="rect">
                      <a:avLst/>
                    </a:prstGeom>
                  </pic:spPr>
                </pic:pic>
              </a:graphicData>
            </a:graphic>
          </wp:inline>
        </w:drawing>
      </w:r>
    </w:p>
    <w:p w14:paraId="53C2FE67" w14:textId="086C42BC" w:rsidR="00D04F63" w:rsidRDefault="005B2D74" w:rsidP="005B2D74">
      <w:pPr>
        <w:pStyle w:val="Caption"/>
        <w:jc w:val="center"/>
      </w:pPr>
      <w:r>
        <w:t xml:space="preserve">Figure </w:t>
      </w:r>
      <w:r>
        <w:fldChar w:fldCharType="begin"/>
      </w:r>
      <w:r>
        <w:instrText xml:space="preserve"> SEQ Figure \* ARABIC </w:instrText>
      </w:r>
      <w:r>
        <w:fldChar w:fldCharType="separate"/>
      </w:r>
      <w:r>
        <w:rPr>
          <w:noProof/>
        </w:rPr>
        <w:t>5</w:t>
      </w:r>
      <w:r>
        <w:fldChar w:fldCharType="end"/>
      </w:r>
      <w:r>
        <w:t xml:space="preserve"> FCC Part 25 SEM - 5MHz CHBW</w:t>
      </w:r>
    </w:p>
    <w:p w14:paraId="6C9AB7A7" w14:textId="39CAE7B4" w:rsidR="00D04F63" w:rsidRDefault="00D04F63" w:rsidP="00D04F63">
      <w:pPr>
        <w:pStyle w:val="Heading3"/>
      </w:pPr>
      <w:r>
        <w:t>2.3.2 NR CHBW - 10MHz</w:t>
      </w:r>
    </w:p>
    <w:p w14:paraId="134CDA31" w14:textId="77777777" w:rsidR="005B2D74" w:rsidRDefault="00B86DDA" w:rsidP="005B2D74">
      <w:pPr>
        <w:keepNext/>
        <w:jc w:val="center"/>
      </w:pPr>
      <w:r>
        <w:rPr>
          <w:noProof/>
        </w:rPr>
        <w:drawing>
          <wp:inline distT="0" distB="0" distL="0" distR="0" wp14:anchorId="31D9A39B" wp14:editId="06CB4614">
            <wp:extent cx="5267325" cy="3933825"/>
            <wp:effectExtent l="0" t="0" r="9525" b="9525"/>
            <wp:docPr id="662309841" name="Picture 1" descr="A graph of a radio wa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309841" name="Picture 1" descr="A graph of a radio wave&#10;&#10;Description automatically generated with medium confidence"/>
                    <pic:cNvPicPr/>
                  </pic:nvPicPr>
                  <pic:blipFill>
                    <a:blip r:embed="rId21"/>
                    <a:stretch>
                      <a:fillRect/>
                    </a:stretch>
                  </pic:blipFill>
                  <pic:spPr>
                    <a:xfrm>
                      <a:off x="0" y="0"/>
                      <a:ext cx="5267325" cy="3933825"/>
                    </a:xfrm>
                    <a:prstGeom prst="rect">
                      <a:avLst/>
                    </a:prstGeom>
                  </pic:spPr>
                </pic:pic>
              </a:graphicData>
            </a:graphic>
          </wp:inline>
        </w:drawing>
      </w:r>
    </w:p>
    <w:p w14:paraId="6521ACFA" w14:textId="432B4DAA" w:rsidR="00D04F63" w:rsidRDefault="005B2D74" w:rsidP="005B2D74">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FCC Part 25 SEM - 10MHz CHBW</w:t>
      </w:r>
    </w:p>
    <w:p w14:paraId="301906A7" w14:textId="49EE4FB2" w:rsidR="00B86DDA" w:rsidRDefault="00B86DDA" w:rsidP="00B86DDA">
      <w:pPr>
        <w:pStyle w:val="Heading3"/>
      </w:pPr>
      <w:r>
        <w:t>2.3.3 NR CHBW - 20MHz</w:t>
      </w:r>
    </w:p>
    <w:p w14:paraId="6C9AF0F0" w14:textId="77777777" w:rsidR="005B2D74" w:rsidRDefault="005B2D74" w:rsidP="005B2D74">
      <w:pPr>
        <w:keepNext/>
        <w:jc w:val="center"/>
      </w:pPr>
      <w:r>
        <w:rPr>
          <w:noProof/>
        </w:rPr>
        <w:drawing>
          <wp:inline distT="0" distB="0" distL="0" distR="0" wp14:anchorId="60249E31" wp14:editId="0CA3F8F9">
            <wp:extent cx="5210175" cy="3905250"/>
            <wp:effectExtent l="0" t="0" r="9525" b="0"/>
            <wp:docPr id="1237554145" name="Picture 1" descr="A graph of a radio wa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554145" name="Picture 1" descr="A graph of a radio wave&#10;&#10;Description automatically generated with medium confidence"/>
                    <pic:cNvPicPr/>
                  </pic:nvPicPr>
                  <pic:blipFill>
                    <a:blip r:embed="rId22"/>
                    <a:stretch>
                      <a:fillRect/>
                    </a:stretch>
                  </pic:blipFill>
                  <pic:spPr>
                    <a:xfrm>
                      <a:off x="0" y="0"/>
                      <a:ext cx="5210175" cy="3905250"/>
                    </a:xfrm>
                    <a:prstGeom prst="rect">
                      <a:avLst/>
                    </a:prstGeom>
                  </pic:spPr>
                </pic:pic>
              </a:graphicData>
            </a:graphic>
          </wp:inline>
        </w:drawing>
      </w:r>
    </w:p>
    <w:p w14:paraId="2B6A8264" w14:textId="78A8B521" w:rsidR="00B86DDA" w:rsidRDefault="005B2D74" w:rsidP="005B2D74">
      <w:pPr>
        <w:pStyle w:val="Caption"/>
        <w:jc w:val="center"/>
      </w:pPr>
      <w:r>
        <w:t xml:space="preserve">Figure </w:t>
      </w:r>
      <w:r>
        <w:fldChar w:fldCharType="begin"/>
      </w:r>
      <w:r>
        <w:instrText xml:space="preserve"> SEQ Figure \* ARABIC </w:instrText>
      </w:r>
      <w:r>
        <w:fldChar w:fldCharType="separate"/>
      </w:r>
      <w:r>
        <w:rPr>
          <w:noProof/>
        </w:rPr>
        <w:t>7</w:t>
      </w:r>
      <w:r>
        <w:fldChar w:fldCharType="end"/>
      </w:r>
      <w:r>
        <w:t xml:space="preserve"> FCC part 25 SEM - 20MHz CHBW</w:t>
      </w:r>
    </w:p>
    <w:p w14:paraId="1BBCBB8D" w14:textId="700EB0C6" w:rsidR="005B2D74" w:rsidRDefault="005B2D74" w:rsidP="005B2D74">
      <w:pPr>
        <w:rPr>
          <w:b/>
          <w:bCs/>
          <w:i/>
          <w:iCs/>
        </w:rPr>
      </w:pPr>
      <w:r>
        <w:rPr>
          <w:b/>
          <w:bCs/>
          <w:i/>
          <w:iCs/>
        </w:rPr>
        <w:t xml:space="preserve">Observation </w:t>
      </w:r>
      <w:r w:rsidR="00A679CE">
        <w:rPr>
          <w:b/>
          <w:bCs/>
          <w:i/>
          <w:iCs/>
        </w:rPr>
        <w:t>8</w:t>
      </w:r>
      <w:r>
        <w:rPr>
          <w:b/>
          <w:bCs/>
          <w:i/>
          <w:iCs/>
        </w:rPr>
        <w:t>: The FCC Part 25 regulations specify an SEM for attenuation from maximum transmit power. The stringency of this SEM depends on the channel bandwidth of the transmission and the transmit power of the UE.</w:t>
      </w:r>
    </w:p>
    <w:p w14:paraId="2B22F503" w14:textId="22DFB0B1" w:rsidR="00387A39" w:rsidRDefault="0043593B" w:rsidP="00F12C2A">
      <w:pPr>
        <w:pStyle w:val="Heading1"/>
        <w:numPr>
          <w:ilvl w:val="0"/>
          <w:numId w:val="1"/>
        </w:numPr>
      </w:pPr>
      <w:r>
        <w:t>System Parameters and UE RF aspects</w:t>
      </w:r>
    </w:p>
    <w:p w14:paraId="2431C948" w14:textId="77777777" w:rsidR="0043593B" w:rsidRDefault="0043593B" w:rsidP="0043593B"/>
    <w:p w14:paraId="1694260A" w14:textId="77777777" w:rsidR="0043593B" w:rsidRPr="0043593B" w:rsidRDefault="0043593B" w:rsidP="0043593B"/>
    <w:p w14:paraId="69A27753" w14:textId="637E71ED" w:rsidR="00FB5B05" w:rsidRDefault="00FB5B05" w:rsidP="003C31BE">
      <w:pPr>
        <w:pStyle w:val="Heading1"/>
        <w:numPr>
          <w:ilvl w:val="0"/>
          <w:numId w:val="1"/>
        </w:numPr>
      </w:pPr>
      <w:r>
        <w:t>Conclusions</w:t>
      </w:r>
    </w:p>
    <w:p w14:paraId="3867C90B" w14:textId="77777777" w:rsidR="003C31BE" w:rsidRPr="003C31BE" w:rsidRDefault="003C31BE" w:rsidP="003C31BE">
      <w:pPr>
        <w:rPr>
          <w:b/>
          <w:bCs/>
          <w:i/>
          <w:iCs/>
        </w:rPr>
      </w:pPr>
      <w:r w:rsidRPr="003C31BE">
        <w:rPr>
          <w:b/>
          <w:bCs/>
          <w:i/>
          <w:iCs/>
        </w:rPr>
        <w:t>Proposal 1: The addition of a UE ‘Tx disable’ functionality to be issued when a UE is close to a radioastronomy station which is registered in the ITU master international frequency register is sufficient to protect said radioastronomy services, so long as the carrier-off state for the UE meets the requirement of -87dBW/100kHz as specified in ETSI EN 301 681.</w:t>
      </w:r>
    </w:p>
    <w:p w14:paraId="6AFE49F2" w14:textId="20597364" w:rsidR="003C31BE" w:rsidRPr="003C31BE" w:rsidRDefault="003C31BE" w:rsidP="003C31BE">
      <w:pPr>
        <w:rPr>
          <w:b/>
          <w:bCs/>
          <w:i/>
          <w:iCs/>
        </w:rPr>
      </w:pPr>
      <w:r w:rsidRPr="003C31BE">
        <w:rPr>
          <w:b/>
          <w:bCs/>
          <w:i/>
          <w:iCs/>
        </w:rPr>
        <w:t>Proposal 2: Further investigation is required in order to understand what ‘close’ to a radioastronomy station means in practical distances and limits depending on device transmission characteristics.</w:t>
      </w:r>
    </w:p>
    <w:p w14:paraId="2A94207B" w14:textId="6F7F6037" w:rsidR="004E50E2" w:rsidRDefault="003C31BE" w:rsidP="003C31BE">
      <w:pPr>
        <w:rPr>
          <w:b/>
          <w:bCs/>
          <w:i/>
          <w:iCs/>
        </w:rPr>
      </w:pPr>
      <w:r w:rsidRPr="003C31BE">
        <w:rPr>
          <w:b/>
          <w:bCs/>
          <w:i/>
          <w:iCs/>
        </w:rPr>
        <w:t>Proposal 3: Derivation of distance from a RA station which yields this PFD performance should be calculated, and these distances / limits may become an additional network signalled value in the event a UE is within this distance from an RA station on the ITU master frequency international register.</w:t>
      </w:r>
    </w:p>
    <w:p w14:paraId="1CABF883" w14:textId="249F5D30" w:rsidR="001F4EE5" w:rsidRPr="003C31BE" w:rsidRDefault="001F4EE5" w:rsidP="003C31BE">
      <w:pPr>
        <w:rPr>
          <w:b/>
          <w:bCs/>
          <w:i/>
          <w:iCs/>
        </w:rPr>
      </w:pPr>
      <w:r>
        <w:rPr>
          <w:b/>
          <w:bCs/>
          <w:i/>
          <w:iCs/>
        </w:rPr>
        <w:t>Proposal 4: The option to assess compliance to ETSI EN 301 681 radiated requirements by conducted means should be captured in a note within the specification, stating that antenna characteristics over the full frequency range are required in order to suitable assess the compliance to these radiated requirements.</w:t>
      </w:r>
    </w:p>
    <w:p w14:paraId="6320BAE2" w14:textId="68329C75" w:rsidR="003C31BE" w:rsidRPr="003C31BE" w:rsidRDefault="003C31BE" w:rsidP="003C31BE">
      <w:pPr>
        <w:rPr>
          <w:b/>
          <w:bCs/>
          <w:i/>
          <w:iCs/>
        </w:rPr>
      </w:pPr>
      <w:r w:rsidRPr="00945CAE">
        <w:rPr>
          <w:b/>
          <w:bCs/>
          <w:i/>
          <w:iCs/>
        </w:rPr>
        <w:t xml:space="preserve">Observation </w:t>
      </w:r>
      <w:r>
        <w:rPr>
          <w:b/>
          <w:bCs/>
          <w:i/>
          <w:iCs/>
        </w:rPr>
        <w:t>1</w:t>
      </w:r>
      <w:r w:rsidRPr="00945CAE">
        <w:rPr>
          <w:b/>
          <w:bCs/>
          <w:i/>
          <w:iCs/>
        </w:rPr>
        <w:t>: There are two radioastronomy bands in close proximity to the spectrum licensed for L-band which must be protected.</w:t>
      </w:r>
    </w:p>
    <w:p w14:paraId="043C42C0" w14:textId="12704C9F" w:rsidR="003C31BE" w:rsidRPr="003C31BE" w:rsidRDefault="003C31BE" w:rsidP="003C31BE">
      <w:pPr>
        <w:rPr>
          <w:b/>
          <w:bCs/>
          <w:i/>
          <w:iCs/>
        </w:rPr>
      </w:pPr>
      <w:r>
        <w:rPr>
          <w:b/>
          <w:bCs/>
          <w:i/>
          <w:iCs/>
        </w:rPr>
        <w:t>Observation 2: Protection of the radioastronomy bands is mandated by the FCC. For the 1660-1660.5MHz RA band, interference must not be imposed upon the RA station by the UE. For the 1668-1670MHz band, PFD limits are imposed.</w:t>
      </w:r>
    </w:p>
    <w:p w14:paraId="4F7CF361" w14:textId="0DA2BD94" w:rsidR="003C31BE" w:rsidRPr="003C31BE" w:rsidRDefault="003C31BE" w:rsidP="003C31BE">
      <w:pPr>
        <w:rPr>
          <w:b/>
          <w:bCs/>
          <w:i/>
          <w:iCs/>
        </w:rPr>
      </w:pPr>
      <w:r>
        <w:rPr>
          <w:b/>
          <w:bCs/>
          <w:i/>
          <w:iCs/>
        </w:rPr>
        <w:t>Observation 3: The ETSI EN 301 681 harmonized standard provides regulatory out of band spectrum emissions masks for ESD for L-band and extended L-band operation, which is applicable to bands 253, 251 and 250.</w:t>
      </w:r>
    </w:p>
    <w:p w14:paraId="329FC231" w14:textId="0012CE3C" w:rsidR="00415904" w:rsidRPr="003C31BE" w:rsidRDefault="003C31BE" w:rsidP="00DB53D4">
      <w:pPr>
        <w:rPr>
          <w:b/>
          <w:bCs/>
          <w:i/>
          <w:iCs/>
        </w:rPr>
      </w:pPr>
      <w:r w:rsidRPr="006240D9">
        <w:rPr>
          <w:b/>
          <w:bCs/>
          <w:i/>
          <w:iCs/>
        </w:rPr>
        <w:t xml:space="preserve">Observation </w:t>
      </w:r>
      <w:r>
        <w:rPr>
          <w:b/>
          <w:bCs/>
          <w:i/>
          <w:iCs/>
        </w:rPr>
        <w:t>4</w:t>
      </w:r>
      <w:r w:rsidRPr="006240D9">
        <w:rPr>
          <w:b/>
          <w:bCs/>
          <w:i/>
          <w:iCs/>
        </w:rPr>
        <w:t>: ETSI EN 301 681 defines a nominated</w:t>
      </w:r>
      <w:r>
        <w:rPr>
          <w:b/>
          <w:bCs/>
          <w:i/>
          <w:iCs/>
        </w:rPr>
        <w:t xml:space="preserve"> transmission</w:t>
      </w:r>
      <w:r w:rsidRPr="006240D9">
        <w:rPr>
          <w:b/>
          <w:bCs/>
          <w:i/>
          <w:iCs/>
        </w:rPr>
        <w:t xml:space="preserve"> </w:t>
      </w:r>
      <w:r>
        <w:rPr>
          <w:b/>
          <w:bCs/>
          <w:i/>
          <w:iCs/>
        </w:rPr>
        <w:t>bandwidth, which can be as wide as 180% of the 3dB bandwidth of the signal of interest. The edge of the nominated bandwidth is where the in-band ETSI EN 301 681 spectrum emissions mask is taken from.</w:t>
      </w:r>
    </w:p>
    <w:p w14:paraId="389BEA97" w14:textId="4EDE85AB" w:rsidR="00C165C9" w:rsidRDefault="003C31BE" w:rsidP="00C165C9">
      <w:pPr>
        <w:rPr>
          <w:b/>
          <w:bCs/>
          <w:i/>
          <w:iCs/>
        </w:rPr>
      </w:pPr>
      <w:r w:rsidRPr="00A10CE5">
        <w:rPr>
          <w:b/>
          <w:bCs/>
          <w:i/>
          <w:iCs/>
        </w:rPr>
        <w:t xml:space="preserve">Observation </w:t>
      </w:r>
      <w:r>
        <w:rPr>
          <w:b/>
          <w:bCs/>
          <w:i/>
          <w:iCs/>
        </w:rPr>
        <w:t>5</w:t>
      </w:r>
      <w:r w:rsidRPr="00A10CE5">
        <w:rPr>
          <w:b/>
          <w:bCs/>
          <w:i/>
          <w:iCs/>
        </w:rPr>
        <w:t>: ETSI EN 301 681 harmonized standard pro</w:t>
      </w:r>
      <w:r>
        <w:rPr>
          <w:b/>
          <w:bCs/>
          <w:i/>
          <w:iCs/>
        </w:rPr>
        <w:t>vides regulatory in-band band spectrum emissions masks for ESD for L-band and extended L-band operation, which is applicable to bands 253, 251 and 250.</w:t>
      </w:r>
    </w:p>
    <w:p w14:paraId="1D3DE748" w14:textId="40401451" w:rsidR="008A6E5C" w:rsidRDefault="008A6E5C" w:rsidP="00C165C9">
      <w:pPr>
        <w:rPr>
          <w:b/>
          <w:bCs/>
          <w:i/>
        </w:rPr>
      </w:pPr>
      <w:r>
        <w:rPr>
          <w:b/>
          <w:bCs/>
          <w:i/>
          <w:iCs/>
        </w:rPr>
        <w:t>Observation</w:t>
      </w:r>
      <w:r w:rsidRPr="003C31BE">
        <w:rPr>
          <w:b/>
          <w:bCs/>
          <w:i/>
          <w:iCs/>
        </w:rPr>
        <w:t xml:space="preserve"> </w:t>
      </w:r>
      <w:r>
        <w:rPr>
          <w:b/>
          <w:bCs/>
          <w:i/>
          <w:iCs/>
        </w:rPr>
        <w:t>6</w:t>
      </w:r>
      <w:r w:rsidRPr="003C31BE">
        <w:rPr>
          <w:b/>
          <w:bCs/>
          <w:i/>
          <w:iCs/>
        </w:rPr>
        <w:t xml:space="preserve">: </w:t>
      </w:r>
      <w:r w:rsidRPr="003C31BE">
        <w:rPr>
          <w:b/>
          <w:bCs/>
          <w:i/>
        </w:rPr>
        <w:t xml:space="preserve">The ETSI EN 301 681 specification captures the </w:t>
      </w:r>
      <w:proofErr w:type="spellStart"/>
      <w:r w:rsidRPr="003C31BE">
        <w:rPr>
          <w:b/>
          <w:bCs/>
          <w:i/>
        </w:rPr>
        <w:t>emisisons</w:t>
      </w:r>
      <w:proofErr w:type="spellEnd"/>
      <w:r w:rsidRPr="003C31BE">
        <w:rPr>
          <w:b/>
          <w:bCs/>
          <w:i/>
        </w:rPr>
        <w:t xml:space="preserve"> requirements for the protection of the other operators transmitting at 1626-1626.5MHz, and is sufficient to guarantee the protection of systems operating in this band.</w:t>
      </w:r>
    </w:p>
    <w:p w14:paraId="39BBC73F" w14:textId="0E4A3DBD" w:rsidR="00A679CE" w:rsidRPr="00A679CE" w:rsidRDefault="00A679CE" w:rsidP="00C165C9">
      <w:pPr>
        <w:rPr>
          <w:b/>
          <w:bCs/>
          <w:i/>
          <w:iCs/>
        </w:rPr>
      </w:pPr>
      <w:r>
        <w:rPr>
          <w:b/>
          <w:bCs/>
          <w:i/>
          <w:iCs/>
        </w:rPr>
        <w:t>Observation 7: Compliance to the ETSI EN 301 681 requirements can be verified via a conducted interface, with the highest antenna gain at the frequency of interest being added to the PSD of each test point to assess compliance to the emissions masks specified in the EN 301 681 standard.</w:t>
      </w:r>
    </w:p>
    <w:p w14:paraId="37197B9A" w14:textId="1DD0999E" w:rsidR="003C31BE" w:rsidRPr="005B2D74" w:rsidRDefault="003C31BE" w:rsidP="003C31BE">
      <w:pPr>
        <w:rPr>
          <w:b/>
          <w:bCs/>
          <w:i/>
          <w:iCs/>
        </w:rPr>
      </w:pPr>
      <w:r>
        <w:rPr>
          <w:b/>
          <w:bCs/>
          <w:i/>
          <w:iCs/>
        </w:rPr>
        <w:t xml:space="preserve">Observation </w:t>
      </w:r>
      <w:r w:rsidR="00A679CE">
        <w:rPr>
          <w:b/>
          <w:bCs/>
          <w:i/>
          <w:iCs/>
        </w:rPr>
        <w:t>8</w:t>
      </w:r>
      <w:r>
        <w:rPr>
          <w:b/>
          <w:bCs/>
          <w:i/>
          <w:iCs/>
        </w:rPr>
        <w:t>: The FCC Part 25 regulations specify an SEM for attenuation from maximum transmit power. The stringency of this SEM depends on the channel bandwidth of the transmission and the transmit power of the UE.</w:t>
      </w:r>
    </w:p>
    <w:p w14:paraId="75D02F8B" w14:textId="32F333DD" w:rsidR="00EF79E3" w:rsidRDefault="00EF79E3"/>
    <w:sectPr w:rsidR="00EF79E3">
      <w:headerReference w:type="even" r:id="rId2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0A4164" w14:textId="77777777" w:rsidR="00A109B1" w:rsidRDefault="00A109B1">
      <w:pPr>
        <w:spacing w:after="0"/>
      </w:pPr>
      <w:r>
        <w:separator/>
      </w:r>
    </w:p>
  </w:endnote>
  <w:endnote w:type="continuationSeparator" w:id="0">
    <w:p w14:paraId="2170D99D" w14:textId="77777777" w:rsidR="00A109B1" w:rsidRDefault="00A109B1">
      <w:pPr>
        <w:spacing w:after="0"/>
      </w:pPr>
      <w:r>
        <w:continuationSeparator/>
      </w:r>
    </w:p>
  </w:endnote>
  <w:endnote w:type="continuationNotice" w:id="1">
    <w:p w14:paraId="51757D99" w14:textId="77777777" w:rsidR="00A109B1" w:rsidRDefault="00A109B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Display">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E188CB" w14:textId="77777777" w:rsidR="00A109B1" w:rsidRDefault="00A109B1">
      <w:pPr>
        <w:spacing w:after="0"/>
      </w:pPr>
      <w:r>
        <w:separator/>
      </w:r>
    </w:p>
  </w:footnote>
  <w:footnote w:type="continuationSeparator" w:id="0">
    <w:p w14:paraId="78258CBC" w14:textId="77777777" w:rsidR="00A109B1" w:rsidRDefault="00A109B1">
      <w:pPr>
        <w:spacing w:after="0"/>
      </w:pPr>
      <w:r>
        <w:continuationSeparator/>
      </w:r>
    </w:p>
  </w:footnote>
  <w:footnote w:type="continuationNotice" w:id="1">
    <w:p w14:paraId="16A4F190" w14:textId="77777777" w:rsidR="00A109B1" w:rsidRDefault="00A109B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E964EF" w14:textId="77777777" w:rsidR="00EF79E3" w:rsidRDefault="00EF79E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8F1969"/>
    <w:multiLevelType w:val="multilevel"/>
    <w:tmpl w:val="4516CC6C"/>
    <w:lvl w:ilvl="0">
      <w:start w:val="4"/>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F7139C5"/>
    <w:multiLevelType w:val="hybridMultilevel"/>
    <w:tmpl w:val="56A4273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554B54D8"/>
    <w:multiLevelType w:val="hybridMultilevel"/>
    <w:tmpl w:val="45845022"/>
    <w:lvl w:ilvl="0" w:tplc="D91C9AC6">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7175491"/>
    <w:multiLevelType w:val="hybridMultilevel"/>
    <w:tmpl w:val="56A4273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7EA2538D"/>
    <w:multiLevelType w:val="hybridMultilevel"/>
    <w:tmpl w:val="0C380A8A"/>
    <w:lvl w:ilvl="0" w:tplc="9612B97A">
      <w:numFmt w:val="bullet"/>
      <w:lvlText w:val="-"/>
      <w:lvlJc w:val="left"/>
      <w:pPr>
        <w:ind w:left="1267" w:hanging="360"/>
      </w:pPr>
      <w:rPr>
        <w:rFonts w:ascii="Arial" w:eastAsiaTheme="minorHAnsi" w:hAnsi="Arial" w:cs="Arial" w:hint="default"/>
      </w:rPr>
    </w:lvl>
    <w:lvl w:ilvl="1" w:tplc="08090003">
      <w:start w:val="1"/>
      <w:numFmt w:val="bullet"/>
      <w:lvlText w:val="o"/>
      <w:lvlJc w:val="left"/>
      <w:pPr>
        <w:ind w:left="1987" w:hanging="360"/>
      </w:pPr>
      <w:rPr>
        <w:rFonts w:ascii="Courier New" w:hAnsi="Courier New" w:cs="Courier New" w:hint="default"/>
      </w:rPr>
    </w:lvl>
    <w:lvl w:ilvl="2" w:tplc="08090005" w:tentative="1">
      <w:start w:val="1"/>
      <w:numFmt w:val="bullet"/>
      <w:lvlText w:val=""/>
      <w:lvlJc w:val="left"/>
      <w:pPr>
        <w:ind w:left="2707" w:hanging="360"/>
      </w:pPr>
      <w:rPr>
        <w:rFonts w:ascii="Wingdings" w:hAnsi="Wingdings" w:hint="default"/>
      </w:rPr>
    </w:lvl>
    <w:lvl w:ilvl="3" w:tplc="08090001" w:tentative="1">
      <w:start w:val="1"/>
      <w:numFmt w:val="bullet"/>
      <w:lvlText w:val=""/>
      <w:lvlJc w:val="left"/>
      <w:pPr>
        <w:ind w:left="3427" w:hanging="360"/>
      </w:pPr>
      <w:rPr>
        <w:rFonts w:ascii="Symbol" w:hAnsi="Symbol" w:hint="default"/>
      </w:rPr>
    </w:lvl>
    <w:lvl w:ilvl="4" w:tplc="08090003" w:tentative="1">
      <w:start w:val="1"/>
      <w:numFmt w:val="bullet"/>
      <w:lvlText w:val="o"/>
      <w:lvlJc w:val="left"/>
      <w:pPr>
        <w:ind w:left="4147" w:hanging="360"/>
      </w:pPr>
      <w:rPr>
        <w:rFonts w:ascii="Courier New" w:hAnsi="Courier New" w:cs="Courier New" w:hint="default"/>
      </w:rPr>
    </w:lvl>
    <w:lvl w:ilvl="5" w:tplc="08090005" w:tentative="1">
      <w:start w:val="1"/>
      <w:numFmt w:val="bullet"/>
      <w:lvlText w:val=""/>
      <w:lvlJc w:val="left"/>
      <w:pPr>
        <w:ind w:left="4867" w:hanging="360"/>
      </w:pPr>
      <w:rPr>
        <w:rFonts w:ascii="Wingdings" w:hAnsi="Wingdings" w:hint="default"/>
      </w:rPr>
    </w:lvl>
    <w:lvl w:ilvl="6" w:tplc="08090001" w:tentative="1">
      <w:start w:val="1"/>
      <w:numFmt w:val="bullet"/>
      <w:lvlText w:val=""/>
      <w:lvlJc w:val="left"/>
      <w:pPr>
        <w:ind w:left="5587" w:hanging="360"/>
      </w:pPr>
      <w:rPr>
        <w:rFonts w:ascii="Symbol" w:hAnsi="Symbol" w:hint="default"/>
      </w:rPr>
    </w:lvl>
    <w:lvl w:ilvl="7" w:tplc="08090003" w:tentative="1">
      <w:start w:val="1"/>
      <w:numFmt w:val="bullet"/>
      <w:lvlText w:val="o"/>
      <w:lvlJc w:val="left"/>
      <w:pPr>
        <w:ind w:left="6307" w:hanging="360"/>
      </w:pPr>
      <w:rPr>
        <w:rFonts w:ascii="Courier New" w:hAnsi="Courier New" w:cs="Courier New" w:hint="default"/>
      </w:rPr>
    </w:lvl>
    <w:lvl w:ilvl="8" w:tplc="08090005" w:tentative="1">
      <w:start w:val="1"/>
      <w:numFmt w:val="bullet"/>
      <w:lvlText w:val=""/>
      <w:lvlJc w:val="left"/>
      <w:pPr>
        <w:ind w:left="7027" w:hanging="360"/>
      </w:pPr>
      <w:rPr>
        <w:rFonts w:ascii="Wingdings" w:hAnsi="Wingdings" w:hint="default"/>
      </w:rPr>
    </w:lvl>
  </w:abstractNum>
  <w:num w:numId="1" w16cid:durableId="873226880">
    <w:abstractNumId w:val="1"/>
  </w:num>
  <w:num w:numId="2" w16cid:durableId="1422875722">
    <w:abstractNumId w:val="5"/>
  </w:num>
  <w:num w:numId="3" w16cid:durableId="1740512952">
    <w:abstractNumId w:val="0"/>
  </w:num>
  <w:num w:numId="4" w16cid:durableId="1592742014">
    <w:abstractNumId w:val="2"/>
  </w:num>
  <w:num w:numId="5" w16cid:durableId="38214605">
    <w:abstractNumId w:val="4"/>
  </w:num>
  <w:num w:numId="6" w16cid:durableId="152852557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hideSpellingErrors/>
  <w:proofState w:spelling="clean"/>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79E3"/>
    <w:rsid w:val="00004133"/>
    <w:rsid w:val="000063A9"/>
    <w:rsid w:val="00046878"/>
    <w:rsid w:val="000565F3"/>
    <w:rsid w:val="000611C6"/>
    <w:rsid w:val="000725AF"/>
    <w:rsid w:val="000744A6"/>
    <w:rsid w:val="00092E86"/>
    <w:rsid w:val="00096BA5"/>
    <w:rsid w:val="000A132F"/>
    <w:rsid w:val="000C6A08"/>
    <w:rsid w:val="000E3D8A"/>
    <w:rsid w:val="000F539B"/>
    <w:rsid w:val="000F7C80"/>
    <w:rsid w:val="001228B0"/>
    <w:rsid w:val="00123A48"/>
    <w:rsid w:val="00125E9C"/>
    <w:rsid w:val="00130EEE"/>
    <w:rsid w:val="00154753"/>
    <w:rsid w:val="001666BD"/>
    <w:rsid w:val="0017258F"/>
    <w:rsid w:val="00193B49"/>
    <w:rsid w:val="00195C4D"/>
    <w:rsid w:val="001A3B99"/>
    <w:rsid w:val="001A7996"/>
    <w:rsid w:val="001B01A4"/>
    <w:rsid w:val="001B06FA"/>
    <w:rsid w:val="001B6C7E"/>
    <w:rsid w:val="001C31C3"/>
    <w:rsid w:val="001D2465"/>
    <w:rsid w:val="001D2C96"/>
    <w:rsid w:val="001E1FA2"/>
    <w:rsid w:val="001F4EE5"/>
    <w:rsid w:val="001F5CC6"/>
    <w:rsid w:val="001F7AFE"/>
    <w:rsid w:val="00200D4A"/>
    <w:rsid w:val="002012B6"/>
    <w:rsid w:val="002213A3"/>
    <w:rsid w:val="00227941"/>
    <w:rsid w:val="00231C14"/>
    <w:rsid w:val="0023767E"/>
    <w:rsid w:val="002429AC"/>
    <w:rsid w:val="0024316C"/>
    <w:rsid w:val="00247111"/>
    <w:rsid w:val="00253847"/>
    <w:rsid w:val="00255C08"/>
    <w:rsid w:val="00272D03"/>
    <w:rsid w:val="0027388D"/>
    <w:rsid w:val="002B1B76"/>
    <w:rsid w:val="002C6E6B"/>
    <w:rsid w:val="002F3299"/>
    <w:rsid w:val="002F477C"/>
    <w:rsid w:val="00306BE1"/>
    <w:rsid w:val="00310D49"/>
    <w:rsid w:val="00336DE7"/>
    <w:rsid w:val="00350112"/>
    <w:rsid w:val="00353E9A"/>
    <w:rsid w:val="00355E78"/>
    <w:rsid w:val="00374BCF"/>
    <w:rsid w:val="00386876"/>
    <w:rsid w:val="00387A39"/>
    <w:rsid w:val="00394115"/>
    <w:rsid w:val="003A2EF0"/>
    <w:rsid w:val="003B06AA"/>
    <w:rsid w:val="003C1114"/>
    <w:rsid w:val="003C31BE"/>
    <w:rsid w:val="003C68AB"/>
    <w:rsid w:val="003E07CE"/>
    <w:rsid w:val="003E30E8"/>
    <w:rsid w:val="003F108C"/>
    <w:rsid w:val="00404F0B"/>
    <w:rsid w:val="004074C8"/>
    <w:rsid w:val="00415904"/>
    <w:rsid w:val="0042641C"/>
    <w:rsid w:val="00432AD8"/>
    <w:rsid w:val="0043593B"/>
    <w:rsid w:val="004375D1"/>
    <w:rsid w:val="00445F92"/>
    <w:rsid w:val="00450068"/>
    <w:rsid w:val="00487EB3"/>
    <w:rsid w:val="004972D6"/>
    <w:rsid w:val="004A0A76"/>
    <w:rsid w:val="004B0AD4"/>
    <w:rsid w:val="004B4A2C"/>
    <w:rsid w:val="004B7A12"/>
    <w:rsid w:val="004C29DC"/>
    <w:rsid w:val="004C79C6"/>
    <w:rsid w:val="004D4DBE"/>
    <w:rsid w:val="004D59AC"/>
    <w:rsid w:val="004E2054"/>
    <w:rsid w:val="004E50E2"/>
    <w:rsid w:val="004E5279"/>
    <w:rsid w:val="00505CA9"/>
    <w:rsid w:val="00513CDD"/>
    <w:rsid w:val="005179BA"/>
    <w:rsid w:val="005207BC"/>
    <w:rsid w:val="00534FCD"/>
    <w:rsid w:val="00540B64"/>
    <w:rsid w:val="00545A53"/>
    <w:rsid w:val="0055097D"/>
    <w:rsid w:val="005575C4"/>
    <w:rsid w:val="00562A17"/>
    <w:rsid w:val="00563150"/>
    <w:rsid w:val="00594F8B"/>
    <w:rsid w:val="005966FF"/>
    <w:rsid w:val="005A0E9E"/>
    <w:rsid w:val="005A167E"/>
    <w:rsid w:val="005A64A6"/>
    <w:rsid w:val="005A6935"/>
    <w:rsid w:val="005B2D74"/>
    <w:rsid w:val="005C00C6"/>
    <w:rsid w:val="005C2214"/>
    <w:rsid w:val="005C637D"/>
    <w:rsid w:val="005C68D8"/>
    <w:rsid w:val="005E7200"/>
    <w:rsid w:val="005F4DB0"/>
    <w:rsid w:val="006047B3"/>
    <w:rsid w:val="0061133D"/>
    <w:rsid w:val="006211A6"/>
    <w:rsid w:val="006240D9"/>
    <w:rsid w:val="00626FD8"/>
    <w:rsid w:val="00647BAC"/>
    <w:rsid w:val="00661150"/>
    <w:rsid w:val="00687499"/>
    <w:rsid w:val="00687A1C"/>
    <w:rsid w:val="006A2965"/>
    <w:rsid w:val="006B49B0"/>
    <w:rsid w:val="006C170F"/>
    <w:rsid w:val="006F7AC3"/>
    <w:rsid w:val="00705C76"/>
    <w:rsid w:val="00714F6D"/>
    <w:rsid w:val="00717E7F"/>
    <w:rsid w:val="00734C54"/>
    <w:rsid w:val="007351B2"/>
    <w:rsid w:val="007555AC"/>
    <w:rsid w:val="00770B61"/>
    <w:rsid w:val="00775885"/>
    <w:rsid w:val="0079780C"/>
    <w:rsid w:val="007B0C9B"/>
    <w:rsid w:val="007B28DA"/>
    <w:rsid w:val="007E0312"/>
    <w:rsid w:val="007E6027"/>
    <w:rsid w:val="007F3442"/>
    <w:rsid w:val="007F7674"/>
    <w:rsid w:val="007F7D92"/>
    <w:rsid w:val="00802BCE"/>
    <w:rsid w:val="00803503"/>
    <w:rsid w:val="008052A6"/>
    <w:rsid w:val="00811EEF"/>
    <w:rsid w:val="008153A7"/>
    <w:rsid w:val="0081698A"/>
    <w:rsid w:val="00816B5A"/>
    <w:rsid w:val="00821C2A"/>
    <w:rsid w:val="008277C2"/>
    <w:rsid w:val="00833CD1"/>
    <w:rsid w:val="008354E6"/>
    <w:rsid w:val="008419FF"/>
    <w:rsid w:val="00865872"/>
    <w:rsid w:val="00880B64"/>
    <w:rsid w:val="008A6E5C"/>
    <w:rsid w:val="008B04E5"/>
    <w:rsid w:val="008B6FED"/>
    <w:rsid w:val="008B7A80"/>
    <w:rsid w:val="008C3B97"/>
    <w:rsid w:val="008C6BCA"/>
    <w:rsid w:val="008E5FA0"/>
    <w:rsid w:val="008F0020"/>
    <w:rsid w:val="008F0FF3"/>
    <w:rsid w:val="008F2CF6"/>
    <w:rsid w:val="009053DB"/>
    <w:rsid w:val="0090621E"/>
    <w:rsid w:val="00912626"/>
    <w:rsid w:val="009128AE"/>
    <w:rsid w:val="00912C2E"/>
    <w:rsid w:val="009244F9"/>
    <w:rsid w:val="00930869"/>
    <w:rsid w:val="00937DD0"/>
    <w:rsid w:val="00944070"/>
    <w:rsid w:val="00945CAE"/>
    <w:rsid w:val="009524FB"/>
    <w:rsid w:val="00952FB1"/>
    <w:rsid w:val="00970FD2"/>
    <w:rsid w:val="009712C1"/>
    <w:rsid w:val="009B32F1"/>
    <w:rsid w:val="009B6D49"/>
    <w:rsid w:val="009E1873"/>
    <w:rsid w:val="009F27EB"/>
    <w:rsid w:val="009F3940"/>
    <w:rsid w:val="00A109B1"/>
    <w:rsid w:val="00A10CE5"/>
    <w:rsid w:val="00A113DB"/>
    <w:rsid w:val="00A17E82"/>
    <w:rsid w:val="00A21F06"/>
    <w:rsid w:val="00A30F6A"/>
    <w:rsid w:val="00A45D0B"/>
    <w:rsid w:val="00A55580"/>
    <w:rsid w:val="00A55F63"/>
    <w:rsid w:val="00A605D6"/>
    <w:rsid w:val="00A65643"/>
    <w:rsid w:val="00A679CE"/>
    <w:rsid w:val="00A74C9C"/>
    <w:rsid w:val="00A83BB5"/>
    <w:rsid w:val="00A865E3"/>
    <w:rsid w:val="00A96081"/>
    <w:rsid w:val="00A966DD"/>
    <w:rsid w:val="00AB341A"/>
    <w:rsid w:val="00AC65AE"/>
    <w:rsid w:val="00AC77A0"/>
    <w:rsid w:val="00AD17DC"/>
    <w:rsid w:val="00AE704F"/>
    <w:rsid w:val="00AF15CC"/>
    <w:rsid w:val="00B12374"/>
    <w:rsid w:val="00B26A22"/>
    <w:rsid w:val="00B36353"/>
    <w:rsid w:val="00B657AB"/>
    <w:rsid w:val="00B6715E"/>
    <w:rsid w:val="00B72351"/>
    <w:rsid w:val="00B83D72"/>
    <w:rsid w:val="00B84D6C"/>
    <w:rsid w:val="00B86DDA"/>
    <w:rsid w:val="00B872A8"/>
    <w:rsid w:val="00BA0FA9"/>
    <w:rsid w:val="00BA592C"/>
    <w:rsid w:val="00BB3B12"/>
    <w:rsid w:val="00BB5CD0"/>
    <w:rsid w:val="00BB711F"/>
    <w:rsid w:val="00BC26DC"/>
    <w:rsid w:val="00BD04A9"/>
    <w:rsid w:val="00BF4D8E"/>
    <w:rsid w:val="00C002AC"/>
    <w:rsid w:val="00C12A23"/>
    <w:rsid w:val="00C165C9"/>
    <w:rsid w:val="00C23B4F"/>
    <w:rsid w:val="00C23DA1"/>
    <w:rsid w:val="00C24122"/>
    <w:rsid w:val="00C34DFF"/>
    <w:rsid w:val="00C37376"/>
    <w:rsid w:val="00C533E3"/>
    <w:rsid w:val="00C535BF"/>
    <w:rsid w:val="00C56E3F"/>
    <w:rsid w:val="00C60514"/>
    <w:rsid w:val="00C66441"/>
    <w:rsid w:val="00C85D30"/>
    <w:rsid w:val="00CA6F21"/>
    <w:rsid w:val="00CB043A"/>
    <w:rsid w:val="00CC76D0"/>
    <w:rsid w:val="00CD3E98"/>
    <w:rsid w:val="00CD4A8E"/>
    <w:rsid w:val="00CD4C17"/>
    <w:rsid w:val="00D01FAB"/>
    <w:rsid w:val="00D027D1"/>
    <w:rsid w:val="00D04F63"/>
    <w:rsid w:val="00D243CF"/>
    <w:rsid w:val="00D2562F"/>
    <w:rsid w:val="00D37D6C"/>
    <w:rsid w:val="00D4474C"/>
    <w:rsid w:val="00D536C4"/>
    <w:rsid w:val="00D7714C"/>
    <w:rsid w:val="00DA25B9"/>
    <w:rsid w:val="00DA3D08"/>
    <w:rsid w:val="00DA582B"/>
    <w:rsid w:val="00DB2B73"/>
    <w:rsid w:val="00DB5192"/>
    <w:rsid w:val="00DB53D4"/>
    <w:rsid w:val="00DB7AED"/>
    <w:rsid w:val="00DD2CF4"/>
    <w:rsid w:val="00DE26B7"/>
    <w:rsid w:val="00DE4BA5"/>
    <w:rsid w:val="00DF3A13"/>
    <w:rsid w:val="00DF58A9"/>
    <w:rsid w:val="00E02356"/>
    <w:rsid w:val="00E04CBC"/>
    <w:rsid w:val="00E36340"/>
    <w:rsid w:val="00E37EDD"/>
    <w:rsid w:val="00E54480"/>
    <w:rsid w:val="00E57C03"/>
    <w:rsid w:val="00E607EE"/>
    <w:rsid w:val="00E76B7E"/>
    <w:rsid w:val="00E817FB"/>
    <w:rsid w:val="00E86698"/>
    <w:rsid w:val="00E90535"/>
    <w:rsid w:val="00E91DEC"/>
    <w:rsid w:val="00EA0EF3"/>
    <w:rsid w:val="00EB280B"/>
    <w:rsid w:val="00EB6659"/>
    <w:rsid w:val="00ED7626"/>
    <w:rsid w:val="00EE4D72"/>
    <w:rsid w:val="00EF79E3"/>
    <w:rsid w:val="00F075A7"/>
    <w:rsid w:val="00F10358"/>
    <w:rsid w:val="00F12C2A"/>
    <w:rsid w:val="00F2424F"/>
    <w:rsid w:val="00F35035"/>
    <w:rsid w:val="00F41240"/>
    <w:rsid w:val="00F54CBF"/>
    <w:rsid w:val="00F56B54"/>
    <w:rsid w:val="00F608D4"/>
    <w:rsid w:val="00F61AF1"/>
    <w:rsid w:val="00F65B0B"/>
    <w:rsid w:val="00F66C96"/>
    <w:rsid w:val="00F679BB"/>
    <w:rsid w:val="00F71F80"/>
    <w:rsid w:val="00F75719"/>
    <w:rsid w:val="00F760B8"/>
    <w:rsid w:val="00F82046"/>
    <w:rsid w:val="00F95634"/>
    <w:rsid w:val="00F97636"/>
    <w:rsid w:val="00FA6E4A"/>
    <w:rsid w:val="00FB5B05"/>
    <w:rsid w:val="00FE3D5F"/>
    <w:rsid w:val="00FE5C05"/>
    <w:rsid w:val="00FE6C44"/>
    <w:rsid w:val="00FE78D6"/>
    <w:rsid w:val="00FF218B"/>
    <w:rsid w:val="00FF24DE"/>
    <w:rsid w:val="00FF76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60A661B"/>
  <w15:chartTrackingRefBased/>
  <w15:docId w15:val="{E5AD055A-94EB-4EA1-8C8E-A4D203306C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0AD4"/>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4B0AD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B0AD4"/>
    <w:pPr>
      <w:pBdr>
        <w:top w:val="none" w:sz="0" w:space="0" w:color="auto"/>
      </w:pBdr>
      <w:spacing w:before="180"/>
      <w:outlineLvl w:val="1"/>
    </w:pPr>
    <w:rPr>
      <w:sz w:val="32"/>
    </w:rPr>
  </w:style>
  <w:style w:type="paragraph" w:styleId="Heading3">
    <w:name w:val="heading 3"/>
    <w:basedOn w:val="Heading2"/>
    <w:next w:val="Normal"/>
    <w:qFormat/>
    <w:rsid w:val="004B0AD4"/>
    <w:pPr>
      <w:spacing w:before="120"/>
      <w:outlineLvl w:val="2"/>
    </w:pPr>
    <w:rPr>
      <w:sz w:val="28"/>
    </w:rPr>
  </w:style>
  <w:style w:type="paragraph" w:styleId="Heading4">
    <w:name w:val="heading 4"/>
    <w:basedOn w:val="Heading3"/>
    <w:next w:val="Normal"/>
    <w:qFormat/>
    <w:rsid w:val="004B0AD4"/>
    <w:pPr>
      <w:ind w:left="1418" w:hanging="1418"/>
      <w:outlineLvl w:val="3"/>
    </w:pPr>
    <w:rPr>
      <w:sz w:val="24"/>
    </w:rPr>
  </w:style>
  <w:style w:type="paragraph" w:styleId="Heading5">
    <w:name w:val="heading 5"/>
    <w:basedOn w:val="Heading4"/>
    <w:next w:val="Normal"/>
    <w:qFormat/>
    <w:rsid w:val="004B0AD4"/>
    <w:pPr>
      <w:ind w:left="1701" w:hanging="1701"/>
      <w:outlineLvl w:val="4"/>
    </w:pPr>
    <w:rPr>
      <w:sz w:val="22"/>
    </w:rPr>
  </w:style>
  <w:style w:type="paragraph" w:styleId="Heading6">
    <w:name w:val="heading 6"/>
    <w:basedOn w:val="H6"/>
    <w:next w:val="Normal"/>
    <w:qFormat/>
    <w:rsid w:val="004B0AD4"/>
    <w:pPr>
      <w:outlineLvl w:val="5"/>
    </w:pPr>
  </w:style>
  <w:style w:type="paragraph" w:styleId="Heading7">
    <w:name w:val="heading 7"/>
    <w:basedOn w:val="H6"/>
    <w:next w:val="Normal"/>
    <w:qFormat/>
    <w:rsid w:val="004B0AD4"/>
    <w:pPr>
      <w:outlineLvl w:val="6"/>
    </w:pPr>
  </w:style>
  <w:style w:type="paragraph" w:styleId="Heading8">
    <w:name w:val="heading 8"/>
    <w:basedOn w:val="Heading1"/>
    <w:next w:val="Normal"/>
    <w:qFormat/>
    <w:rsid w:val="004B0AD4"/>
    <w:pPr>
      <w:ind w:left="0" w:firstLine="0"/>
      <w:outlineLvl w:val="7"/>
    </w:pPr>
  </w:style>
  <w:style w:type="paragraph" w:styleId="Heading9">
    <w:name w:val="heading 9"/>
    <w:basedOn w:val="Heading8"/>
    <w:next w:val="Normal"/>
    <w:qFormat/>
    <w:rsid w:val="004B0AD4"/>
    <w:pPr>
      <w:outlineLvl w:val="8"/>
    </w:pPr>
  </w:style>
  <w:style w:type="character" w:default="1" w:styleId="DefaultParagraphFont">
    <w:name w:val="Default Paragraph Font"/>
    <w:uiPriority w:val="1"/>
    <w:semiHidden/>
    <w:rsid w:val="004B0AD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B0AD4"/>
  </w:style>
  <w:style w:type="paragraph" w:styleId="TOC8">
    <w:name w:val="toc 8"/>
    <w:basedOn w:val="TOC1"/>
    <w:semiHidden/>
    <w:rsid w:val="004B0AD4"/>
    <w:pPr>
      <w:spacing w:before="180"/>
      <w:ind w:left="2693" w:hanging="2693"/>
    </w:pPr>
    <w:rPr>
      <w:b/>
    </w:rPr>
  </w:style>
  <w:style w:type="paragraph" w:styleId="TOC1">
    <w:name w:val="toc 1"/>
    <w:semiHidden/>
    <w:rsid w:val="004B0AD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4B0AD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4B0AD4"/>
    <w:pPr>
      <w:ind w:left="1701" w:hanging="1701"/>
    </w:pPr>
  </w:style>
  <w:style w:type="paragraph" w:styleId="TOC4">
    <w:name w:val="toc 4"/>
    <w:basedOn w:val="TOC3"/>
    <w:semiHidden/>
    <w:rsid w:val="004B0AD4"/>
    <w:pPr>
      <w:ind w:left="1418" w:hanging="1418"/>
    </w:pPr>
  </w:style>
  <w:style w:type="paragraph" w:styleId="TOC3">
    <w:name w:val="toc 3"/>
    <w:basedOn w:val="TOC2"/>
    <w:semiHidden/>
    <w:rsid w:val="004B0AD4"/>
    <w:pPr>
      <w:ind w:left="1134" w:hanging="1134"/>
    </w:pPr>
  </w:style>
  <w:style w:type="paragraph" w:styleId="TOC2">
    <w:name w:val="toc 2"/>
    <w:basedOn w:val="TOC1"/>
    <w:semiHidden/>
    <w:rsid w:val="004B0AD4"/>
    <w:pPr>
      <w:keepNext w:val="0"/>
      <w:spacing w:before="0"/>
      <w:ind w:left="851" w:hanging="851"/>
    </w:pPr>
    <w:rPr>
      <w:sz w:val="20"/>
    </w:rPr>
  </w:style>
  <w:style w:type="paragraph" w:styleId="Index2">
    <w:name w:val="index 2"/>
    <w:basedOn w:val="Index1"/>
    <w:semiHidden/>
    <w:rsid w:val="004B0AD4"/>
    <w:pPr>
      <w:ind w:left="284"/>
    </w:pPr>
  </w:style>
  <w:style w:type="paragraph" w:styleId="Index1">
    <w:name w:val="index 1"/>
    <w:basedOn w:val="Normal"/>
    <w:semiHidden/>
    <w:rsid w:val="004B0AD4"/>
    <w:pPr>
      <w:keepLines/>
      <w:spacing w:after="0"/>
    </w:pPr>
  </w:style>
  <w:style w:type="paragraph" w:customStyle="1" w:styleId="ZH">
    <w:name w:val="ZH"/>
    <w:rsid w:val="004B0AD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4B0AD4"/>
    <w:pPr>
      <w:outlineLvl w:val="9"/>
    </w:pPr>
  </w:style>
  <w:style w:type="paragraph" w:styleId="ListNumber2">
    <w:name w:val="List Number 2"/>
    <w:basedOn w:val="ListNumber"/>
    <w:semiHidden/>
    <w:rsid w:val="004B0AD4"/>
    <w:pPr>
      <w:ind w:left="851"/>
    </w:pPr>
  </w:style>
  <w:style w:type="paragraph" w:styleId="Header">
    <w:name w:val="header"/>
    <w:semiHidden/>
    <w:rsid w:val="004B0AD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4B0AD4"/>
    <w:rPr>
      <w:b/>
      <w:position w:val="6"/>
      <w:sz w:val="16"/>
    </w:rPr>
  </w:style>
  <w:style w:type="paragraph" w:styleId="FootnoteText">
    <w:name w:val="footnote text"/>
    <w:basedOn w:val="Normal"/>
    <w:semiHidden/>
    <w:rsid w:val="004B0AD4"/>
    <w:pPr>
      <w:keepLines/>
      <w:spacing w:after="0"/>
      <w:ind w:left="454" w:hanging="454"/>
    </w:pPr>
    <w:rPr>
      <w:sz w:val="16"/>
    </w:rPr>
  </w:style>
  <w:style w:type="paragraph" w:customStyle="1" w:styleId="TAH">
    <w:name w:val="TAH"/>
    <w:basedOn w:val="TAC"/>
    <w:link w:val="TAHCar"/>
    <w:rsid w:val="004B0AD4"/>
    <w:rPr>
      <w:b/>
    </w:rPr>
  </w:style>
  <w:style w:type="paragraph" w:customStyle="1" w:styleId="TAC">
    <w:name w:val="TAC"/>
    <w:basedOn w:val="TAL"/>
    <w:link w:val="TACChar"/>
    <w:rsid w:val="004B0AD4"/>
    <w:pPr>
      <w:jc w:val="center"/>
    </w:pPr>
  </w:style>
  <w:style w:type="paragraph" w:customStyle="1" w:styleId="TF">
    <w:name w:val="TF"/>
    <w:basedOn w:val="TH"/>
    <w:rsid w:val="004B0AD4"/>
    <w:pPr>
      <w:keepNext w:val="0"/>
      <w:spacing w:before="0" w:after="240"/>
    </w:pPr>
  </w:style>
  <w:style w:type="paragraph" w:customStyle="1" w:styleId="NO">
    <w:name w:val="NO"/>
    <w:basedOn w:val="Normal"/>
    <w:rsid w:val="004B0AD4"/>
    <w:pPr>
      <w:keepLines/>
      <w:ind w:left="1135" w:hanging="851"/>
    </w:pPr>
  </w:style>
  <w:style w:type="paragraph" w:styleId="TOC9">
    <w:name w:val="toc 9"/>
    <w:basedOn w:val="TOC8"/>
    <w:semiHidden/>
    <w:rsid w:val="004B0AD4"/>
    <w:pPr>
      <w:ind w:left="1418" w:hanging="1418"/>
    </w:pPr>
  </w:style>
  <w:style w:type="paragraph" w:customStyle="1" w:styleId="EX">
    <w:name w:val="EX"/>
    <w:basedOn w:val="Normal"/>
    <w:rsid w:val="004B0AD4"/>
    <w:pPr>
      <w:keepLines/>
      <w:ind w:left="1702" w:hanging="1418"/>
    </w:pPr>
  </w:style>
  <w:style w:type="paragraph" w:customStyle="1" w:styleId="FP">
    <w:name w:val="FP"/>
    <w:basedOn w:val="Normal"/>
    <w:rsid w:val="004B0AD4"/>
    <w:pPr>
      <w:spacing w:after="0"/>
    </w:pPr>
  </w:style>
  <w:style w:type="paragraph" w:customStyle="1" w:styleId="LD">
    <w:name w:val="LD"/>
    <w:rsid w:val="004B0AD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4B0AD4"/>
    <w:pPr>
      <w:spacing w:after="0"/>
    </w:pPr>
  </w:style>
  <w:style w:type="paragraph" w:customStyle="1" w:styleId="EW">
    <w:name w:val="EW"/>
    <w:basedOn w:val="EX"/>
    <w:rsid w:val="004B0AD4"/>
    <w:pPr>
      <w:spacing w:after="0"/>
    </w:pPr>
  </w:style>
  <w:style w:type="paragraph" w:styleId="TOC6">
    <w:name w:val="toc 6"/>
    <w:basedOn w:val="TOC5"/>
    <w:next w:val="Normal"/>
    <w:semiHidden/>
    <w:rsid w:val="004B0AD4"/>
    <w:pPr>
      <w:ind w:left="1985" w:hanging="1985"/>
    </w:pPr>
  </w:style>
  <w:style w:type="paragraph" w:styleId="TOC7">
    <w:name w:val="toc 7"/>
    <w:basedOn w:val="TOC6"/>
    <w:next w:val="Normal"/>
    <w:semiHidden/>
    <w:rsid w:val="004B0AD4"/>
    <w:pPr>
      <w:ind w:left="2268" w:hanging="2268"/>
    </w:pPr>
  </w:style>
  <w:style w:type="paragraph" w:styleId="ListBullet2">
    <w:name w:val="List Bullet 2"/>
    <w:basedOn w:val="ListBullet"/>
    <w:semiHidden/>
    <w:rsid w:val="004B0AD4"/>
    <w:pPr>
      <w:ind w:left="851"/>
    </w:pPr>
  </w:style>
  <w:style w:type="paragraph" w:styleId="ListBullet3">
    <w:name w:val="List Bullet 3"/>
    <w:basedOn w:val="ListBullet2"/>
    <w:semiHidden/>
    <w:rsid w:val="004B0AD4"/>
    <w:pPr>
      <w:ind w:left="1135"/>
    </w:pPr>
  </w:style>
  <w:style w:type="paragraph" w:styleId="ListNumber">
    <w:name w:val="List Number"/>
    <w:basedOn w:val="List"/>
    <w:semiHidden/>
    <w:rsid w:val="004B0AD4"/>
  </w:style>
  <w:style w:type="paragraph" w:customStyle="1" w:styleId="EQ">
    <w:name w:val="EQ"/>
    <w:basedOn w:val="Normal"/>
    <w:next w:val="Normal"/>
    <w:rsid w:val="004B0AD4"/>
    <w:pPr>
      <w:keepLines/>
      <w:tabs>
        <w:tab w:val="center" w:pos="4536"/>
        <w:tab w:val="right" w:pos="9072"/>
      </w:tabs>
    </w:pPr>
    <w:rPr>
      <w:noProof/>
    </w:rPr>
  </w:style>
  <w:style w:type="paragraph" w:customStyle="1" w:styleId="TH">
    <w:name w:val="TH"/>
    <w:basedOn w:val="Normal"/>
    <w:rsid w:val="004B0AD4"/>
    <w:pPr>
      <w:keepNext/>
      <w:keepLines/>
      <w:spacing w:before="60"/>
      <w:jc w:val="center"/>
    </w:pPr>
    <w:rPr>
      <w:rFonts w:ascii="Arial" w:hAnsi="Arial"/>
      <w:b/>
    </w:rPr>
  </w:style>
  <w:style w:type="paragraph" w:customStyle="1" w:styleId="NF">
    <w:name w:val="NF"/>
    <w:basedOn w:val="NO"/>
    <w:rsid w:val="004B0AD4"/>
    <w:pPr>
      <w:keepNext/>
      <w:spacing w:after="0"/>
    </w:pPr>
    <w:rPr>
      <w:rFonts w:ascii="Arial" w:hAnsi="Arial"/>
      <w:sz w:val="18"/>
    </w:rPr>
  </w:style>
  <w:style w:type="paragraph" w:customStyle="1" w:styleId="PL">
    <w:name w:val="PL"/>
    <w:rsid w:val="004B0A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B0AD4"/>
    <w:pPr>
      <w:jc w:val="right"/>
    </w:pPr>
  </w:style>
  <w:style w:type="paragraph" w:customStyle="1" w:styleId="H6">
    <w:name w:val="H6"/>
    <w:basedOn w:val="Heading5"/>
    <w:next w:val="Normal"/>
    <w:rsid w:val="004B0AD4"/>
    <w:pPr>
      <w:ind w:left="1985" w:hanging="1985"/>
      <w:outlineLvl w:val="9"/>
    </w:pPr>
    <w:rPr>
      <w:sz w:val="20"/>
    </w:rPr>
  </w:style>
  <w:style w:type="paragraph" w:customStyle="1" w:styleId="TAN">
    <w:name w:val="TAN"/>
    <w:basedOn w:val="TAL"/>
    <w:link w:val="TANChar"/>
    <w:rsid w:val="004B0AD4"/>
    <w:pPr>
      <w:ind w:left="851" w:hanging="851"/>
    </w:pPr>
  </w:style>
  <w:style w:type="paragraph" w:customStyle="1" w:styleId="TAL">
    <w:name w:val="TAL"/>
    <w:basedOn w:val="Normal"/>
    <w:rsid w:val="004B0AD4"/>
    <w:pPr>
      <w:keepNext/>
      <w:keepLines/>
      <w:spacing w:after="0"/>
    </w:pPr>
    <w:rPr>
      <w:rFonts w:ascii="Arial" w:hAnsi="Arial"/>
      <w:sz w:val="18"/>
    </w:rPr>
  </w:style>
  <w:style w:type="paragraph" w:customStyle="1" w:styleId="ZA">
    <w:name w:val="ZA"/>
    <w:rsid w:val="004B0AD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B0AD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4B0AD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4B0AD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4B0AD4"/>
    <w:pPr>
      <w:framePr w:wrap="notBeside" w:y="16161"/>
    </w:pPr>
  </w:style>
  <w:style w:type="character" w:customStyle="1" w:styleId="ZGSM">
    <w:name w:val="ZGSM"/>
    <w:rsid w:val="004B0AD4"/>
  </w:style>
  <w:style w:type="paragraph" w:styleId="List2">
    <w:name w:val="List 2"/>
    <w:basedOn w:val="List"/>
    <w:semiHidden/>
    <w:rsid w:val="004B0AD4"/>
    <w:pPr>
      <w:ind w:left="851"/>
    </w:pPr>
  </w:style>
  <w:style w:type="paragraph" w:customStyle="1" w:styleId="ZG">
    <w:name w:val="ZG"/>
    <w:rsid w:val="004B0AD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4B0AD4"/>
    <w:pPr>
      <w:ind w:left="1135"/>
    </w:pPr>
  </w:style>
  <w:style w:type="paragraph" w:styleId="List4">
    <w:name w:val="List 4"/>
    <w:basedOn w:val="List3"/>
    <w:semiHidden/>
    <w:rsid w:val="004B0AD4"/>
    <w:pPr>
      <w:ind w:left="1418"/>
    </w:pPr>
  </w:style>
  <w:style w:type="paragraph" w:styleId="List5">
    <w:name w:val="List 5"/>
    <w:basedOn w:val="List4"/>
    <w:semiHidden/>
    <w:rsid w:val="004B0AD4"/>
    <w:pPr>
      <w:ind w:left="1702"/>
    </w:pPr>
  </w:style>
  <w:style w:type="paragraph" w:customStyle="1" w:styleId="EditorsNote">
    <w:name w:val="Editor's Note"/>
    <w:basedOn w:val="NO"/>
    <w:rsid w:val="004B0AD4"/>
    <w:rPr>
      <w:color w:val="FF0000"/>
    </w:rPr>
  </w:style>
  <w:style w:type="paragraph" w:styleId="List">
    <w:name w:val="List"/>
    <w:basedOn w:val="Normal"/>
    <w:semiHidden/>
    <w:rsid w:val="004B0AD4"/>
    <w:pPr>
      <w:ind w:left="568" w:hanging="284"/>
    </w:pPr>
  </w:style>
  <w:style w:type="paragraph" w:styleId="ListBullet">
    <w:name w:val="List Bullet"/>
    <w:basedOn w:val="List"/>
    <w:semiHidden/>
    <w:rsid w:val="004B0AD4"/>
  </w:style>
  <w:style w:type="paragraph" w:styleId="ListBullet4">
    <w:name w:val="List Bullet 4"/>
    <w:basedOn w:val="ListBullet3"/>
    <w:semiHidden/>
    <w:rsid w:val="004B0AD4"/>
    <w:pPr>
      <w:ind w:left="1418"/>
    </w:pPr>
  </w:style>
  <w:style w:type="paragraph" w:styleId="ListBullet5">
    <w:name w:val="List Bullet 5"/>
    <w:basedOn w:val="ListBullet4"/>
    <w:semiHidden/>
    <w:rsid w:val="004B0AD4"/>
    <w:pPr>
      <w:ind w:left="1702"/>
    </w:pPr>
  </w:style>
  <w:style w:type="paragraph" w:customStyle="1" w:styleId="B1">
    <w:name w:val="B1"/>
    <w:basedOn w:val="List"/>
    <w:rsid w:val="004B0AD4"/>
  </w:style>
  <w:style w:type="paragraph" w:customStyle="1" w:styleId="B2">
    <w:name w:val="B2"/>
    <w:basedOn w:val="List2"/>
    <w:rsid w:val="004B0AD4"/>
  </w:style>
  <w:style w:type="paragraph" w:customStyle="1" w:styleId="B3">
    <w:name w:val="B3"/>
    <w:basedOn w:val="List3"/>
    <w:rsid w:val="004B0AD4"/>
  </w:style>
  <w:style w:type="paragraph" w:customStyle="1" w:styleId="B4">
    <w:name w:val="B4"/>
    <w:basedOn w:val="List4"/>
    <w:rsid w:val="004B0AD4"/>
  </w:style>
  <w:style w:type="paragraph" w:customStyle="1" w:styleId="B5">
    <w:name w:val="B5"/>
    <w:basedOn w:val="List5"/>
    <w:rsid w:val="004B0AD4"/>
  </w:style>
  <w:style w:type="paragraph" w:styleId="Footer">
    <w:name w:val="footer"/>
    <w:basedOn w:val="Header"/>
    <w:semiHidden/>
    <w:rsid w:val="004B0AD4"/>
    <w:pPr>
      <w:jc w:val="center"/>
    </w:pPr>
    <w:rPr>
      <w:i/>
    </w:rPr>
  </w:style>
  <w:style w:type="paragraph" w:customStyle="1" w:styleId="ZTD">
    <w:name w:val="ZTD"/>
    <w:basedOn w:val="ZB"/>
    <w:rsid w:val="004B0AD4"/>
    <w:pPr>
      <w:framePr w:hRule="auto" w:wrap="notBeside" w:y="852"/>
    </w:pPr>
    <w:rPr>
      <w:i w:val="0"/>
      <w:sz w:val="40"/>
    </w:rPr>
  </w:style>
  <w:style w:type="paragraph" w:styleId="NoSpacing">
    <w:name w:val="No Spacing"/>
    <w:uiPriority w:val="1"/>
    <w:qFormat/>
    <w:rsid w:val="000611C6"/>
    <w:rPr>
      <w:rFonts w:ascii="Times New Roman" w:hAnsi="Times New Roman"/>
      <w:lang w:val="en-US" w:eastAsia="en-US"/>
    </w:rPr>
  </w:style>
  <w:style w:type="paragraph" w:styleId="BodyText">
    <w:name w:val="Body Text"/>
    <w:aliases w:val="bt"/>
    <w:basedOn w:val="Normal"/>
    <w:link w:val="BodyTextChar"/>
    <w:rsid w:val="000611C6"/>
    <w:pPr>
      <w:spacing w:after="120"/>
      <w:jc w:val="both"/>
    </w:pPr>
    <w:rPr>
      <w:rFonts w:ascii="Times" w:eastAsia="SimSun" w:hAnsi="Times"/>
      <w:szCs w:val="24"/>
      <w:lang w:val="en-US" w:eastAsia="en-US"/>
    </w:rPr>
  </w:style>
  <w:style w:type="character" w:customStyle="1" w:styleId="BodyTextChar">
    <w:name w:val="Body Text Char"/>
    <w:aliases w:val="bt Char"/>
    <w:basedOn w:val="DefaultParagraphFont"/>
    <w:link w:val="BodyText"/>
    <w:rsid w:val="000611C6"/>
    <w:rPr>
      <w:rFonts w:ascii="Times" w:eastAsia="SimSun" w:hAnsi="Times"/>
      <w:szCs w:val="24"/>
      <w:lang w:val="en-US" w:eastAsia="en-US"/>
    </w:rPr>
  </w:style>
  <w:style w:type="paragraph" w:styleId="ListParagraph">
    <w:name w:val="List Paragraph"/>
    <w:basedOn w:val="Normal"/>
    <w:uiPriority w:val="34"/>
    <w:qFormat/>
    <w:rsid w:val="00F61AF1"/>
    <w:pPr>
      <w:ind w:left="720"/>
      <w:contextualSpacing/>
    </w:pPr>
  </w:style>
  <w:style w:type="paragraph" w:styleId="Caption">
    <w:name w:val="caption"/>
    <w:basedOn w:val="Normal"/>
    <w:next w:val="Normal"/>
    <w:uiPriority w:val="35"/>
    <w:unhideWhenUsed/>
    <w:qFormat/>
    <w:rsid w:val="0055097D"/>
    <w:rPr>
      <w:b/>
      <w:bCs/>
    </w:rPr>
  </w:style>
  <w:style w:type="table" w:styleId="TableGrid">
    <w:name w:val="Table Grid"/>
    <w:basedOn w:val="TableNormal"/>
    <w:uiPriority w:val="39"/>
    <w:rsid w:val="00EA0E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45D0B"/>
    <w:rPr>
      <w:rFonts w:ascii="Times New Roman" w:hAnsi="Times New Roman"/>
    </w:rPr>
  </w:style>
  <w:style w:type="character" w:customStyle="1" w:styleId="TACChar">
    <w:name w:val="TAC Char"/>
    <w:link w:val="TAC"/>
    <w:qFormat/>
    <w:rsid w:val="00253847"/>
    <w:rPr>
      <w:rFonts w:ascii="Arial" w:hAnsi="Arial"/>
      <w:sz w:val="18"/>
    </w:rPr>
  </w:style>
  <w:style w:type="character" w:customStyle="1" w:styleId="TAHCar">
    <w:name w:val="TAH Car"/>
    <w:link w:val="TAH"/>
    <w:qFormat/>
    <w:rsid w:val="00253847"/>
    <w:rPr>
      <w:rFonts w:ascii="Arial" w:hAnsi="Arial"/>
      <w:b/>
      <w:sz w:val="18"/>
    </w:rPr>
  </w:style>
  <w:style w:type="character" w:customStyle="1" w:styleId="TANChar">
    <w:name w:val="TAN Char"/>
    <w:link w:val="TAN"/>
    <w:qFormat/>
    <w:rsid w:val="00253847"/>
    <w:rPr>
      <w:rFonts w:ascii="Arial" w:hAnsi="Arial"/>
      <w:sz w:val="18"/>
    </w:rPr>
  </w:style>
  <w:style w:type="paragraph" w:customStyle="1" w:styleId="TableParagraph">
    <w:name w:val="Table Paragraph"/>
    <w:basedOn w:val="Normal"/>
    <w:uiPriority w:val="1"/>
    <w:qFormat/>
    <w:rsid w:val="00AC77A0"/>
    <w:pPr>
      <w:widowControl w:val="0"/>
      <w:overflowPunct/>
      <w:adjustRightInd/>
      <w:spacing w:after="0"/>
      <w:ind w:left="18"/>
      <w:jc w:val="center"/>
      <w:textAlignment w:val="auto"/>
    </w:pPr>
    <w:rPr>
      <w:rFonts w:ascii="Arial" w:eastAsia="Arial" w:hAnsi="Arial" w:cs="Arial"/>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ustomXml" Target="ink/ink2.xm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ustomXml" Target="ink/ink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er.Rhodes\OneDrive%20-%20inmarsat.com\Misc\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0-10T10:52:46.936"/>
    </inkml:context>
    <inkml:brush xml:id="br0">
      <inkml:brushProperty name="width" value="0.035" units="cm"/>
      <inkml:brushProperty name="height" value="0.035" units="cm"/>
    </inkml:brush>
  </inkml:definitions>
  <inkml:trace contextRef="#ctx0" brushRef="#br0">23 1 24575,'-4'0'0,"-5"0"0,0 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0-10T10:52:45.586"/>
    </inkml:context>
    <inkml:brush xml:id="br0">
      <inkml:brushProperty name="width" value="0.035" units="cm"/>
      <inkml:brushProperty name="height" value="0.035" units="cm"/>
    </inkml:brush>
  </inkml:definitions>
  <inkml:trace contextRef="#ctx0" brushRef="#br0">0 1 24575,'0'0'-8191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4fc1b7d-2491-4325-b4ba-4ded840cc5c3" xsi:nil="true"/>
    <lcf76f155ced4ddcb4097134ff3c332f xmlns="9521437f-7a5f-4c0e-989d-711dce789f28">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98573469650B343AF314866C5FCEB84" ma:contentTypeVersion="15" ma:contentTypeDescription="Create a new document." ma:contentTypeScope="" ma:versionID="b39ae841a2cb10cbdb341aa250dc5a45">
  <xsd:schema xmlns:xsd="http://www.w3.org/2001/XMLSchema" xmlns:xs="http://www.w3.org/2001/XMLSchema" xmlns:p="http://schemas.microsoft.com/office/2006/metadata/properties" xmlns:ns2="9521437f-7a5f-4c0e-989d-711dce789f28" xmlns:ns3="74fc1b7d-2491-4325-b4ba-4ded840cc5c3" xmlns:ns4="74454b63-66bb-4212-8455-87ee665820ff" targetNamespace="http://schemas.microsoft.com/office/2006/metadata/properties" ma:root="true" ma:fieldsID="90aab5c4ac859f4235775eccbc774661" ns2:_="" ns3:_="" ns4:_="">
    <xsd:import namespace="9521437f-7a5f-4c0e-989d-711dce789f28"/>
    <xsd:import namespace="74fc1b7d-2491-4325-b4ba-4ded840cc5c3"/>
    <xsd:import namespace="74454b63-66bb-4212-8455-87ee665820f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4:SharedWithUsers" minOccurs="0"/>
                <xsd:element ref="ns4: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21437f-7a5f-4c0e-989d-711dce789f2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cb230259-a6c1-4255-b092-dfd9b14cf0e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4fc1b7d-2491-4325-b4ba-4ded840cc5c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4be809d-45e1-4c5e-914a-39d2d6d724e5}" ma:internalName="TaxCatchAll" ma:showField="CatchAllData" ma:web="74454b63-66bb-4212-8455-87ee665820f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4454b63-66bb-4212-8455-87ee665820ff"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005096D-773F-4C5D-A1FF-51EDCDC9A3B3}">
  <ds:schemaRefs>
    <ds:schemaRef ds:uri="http://schemas.microsoft.com/office/2006/metadata/properties"/>
    <ds:schemaRef ds:uri="http://schemas.microsoft.com/office/infopath/2007/PartnerControls"/>
    <ds:schemaRef ds:uri="74fc1b7d-2491-4325-b4ba-4ded840cc5c3"/>
    <ds:schemaRef ds:uri="9521437f-7a5f-4c0e-989d-711dce789f28"/>
  </ds:schemaRefs>
</ds:datastoreItem>
</file>

<file path=customXml/itemProps2.xml><?xml version="1.0" encoding="utf-8"?>
<ds:datastoreItem xmlns:ds="http://schemas.openxmlformats.org/officeDocument/2006/customXml" ds:itemID="{ED012F14-1A12-4E8F-A673-623AD1C9104F}">
  <ds:schemaRefs>
    <ds:schemaRef ds:uri="http://schemas.openxmlformats.org/officeDocument/2006/bibliography"/>
  </ds:schemaRefs>
</ds:datastoreItem>
</file>

<file path=customXml/itemProps3.xml><?xml version="1.0" encoding="utf-8"?>
<ds:datastoreItem xmlns:ds="http://schemas.openxmlformats.org/officeDocument/2006/customXml" ds:itemID="{AAD71EB0-96B6-4102-8241-1FCF105F38C2}">
  <ds:schemaRefs>
    <ds:schemaRef ds:uri="http://schemas.microsoft.com/sharepoint/v3/contenttype/forms"/>
  </ds:schemaRefs>
</ds:datastoreItem>
</file>

<file path=customXml/itemProps4.xml><?xml version="1.0" encoding="utf-8"?>
<ds:datastoreItem xmlns:ds="http://schemas.openxmlformats.org/officeDocument/2006/customXml" ds:itemID="{A629DED8-60D6-4111-A6A2-6C4FD4F293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21437f-7a5f-4c0e-989d-711dce789f28"/>
    <ds:schemaRef ds:uri="74fc1b7d-2491-4325-b4ba-4ded840cc5c3"/>
    <ds:schemaRef ds:uri="74454b63-66bb-4212-8455-87ee665820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3eba056-5ca4-4871-89ac-bdd09160ce7e}" enabled="0" method="" siteId="{43eba056-5ca4-4871-89ac-bdd09160ce7e}"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Pages>
  <Words>2562</Words>
  <Characters>14607</Characters>
  <Application>Microsoft Office Word</Application>
  <DocSecurity>4</DocSecurity>
  <Lines>121</Lines>
  <Paragraphs>34</Paragraphs>
  <ScaleCrop>false</ScaleCrop>
  <Company>ETSI Sophia Antipolis</Company>
  <LinksUpToDate>false</LinksUpToDate>
  <CharactersWithSpaces>17135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Alexander Rhodes</dc:creator>
  <cp:keywords>ESA, style sheet, Winword</cp:keywords>
  <dc:description/>
  <cp:lastModifiedBy>Luca Lodigiani</cp:lastModifiedBy>
  <cp:revision>258</cp:revision>
  <cp:lastPrinted>1900-01-01T16:00:00Z</cp:lastPrinted>
  <dcterms:created xsi:type="dcterms:W3CDTF">2024-10-05T05:13:00Z</dcterms:created>
  <dcterms:modified xsi:type="dcterms:W3CDTF">2024-10-10T15:53:00Z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0x010100B98573469650B343AF314866C5FCEB84</vt:lpwstr>
  </property>
  <property fmtid="{D5CDD505-2E9C-101B-9397-08002B2CF9AE}" pid="3" name="MediaServiceImageTags">
    <vt:lpwstr/>
  </property>
</Properties>
</file>